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239 vom 18. September 2018</w:t>
      </w:r>
    </w:p>
    <w:p>
      <w:r>
        <w:t>FR Kantonsgericht, 2018-09-18, FR</w:t>
      </w:r>
    </w:p>
    <w:p>
      <w:r>
        <w:rPr>
          <w:b/>
        </w:rPr>
        <w:t xml:space="preserve">Quelle: </w:t>
      </w:r>
      <w:r>
        <w:t>https://mcp.opencaselaw.ch/entscheid/fr_gerichte_102_2018_239</w:t>
      </w:r>
    </w:p>
    <w:p>
      <w:r>
        <w:t>FR: FR_GERICHTE 102 2018 239 du 18 septembre 2018</w:t>
      </w:r>
    </w:p>
    <w:p>
      <w:r>
        <w:t>IT: FR_GERICHTE 102 2018 239 del 18 settembre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488.-.</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il se limite à faire valoir qu’il n’a pas été en mesure de se déterminer sur la requête de mainlevée définitive déposée par le créancier poursuivant le 26 juin 2018, motif pris que l’ordonnance de la Présidente du 28 juin 2018 lui aurait été notifiée en son absence, de sorte qu’à son retour de vacances, il n’a pu que constater que le délai pour répondre était échu. Ce faisant, le recourant n'expose pas en quoi le premier juge aurait eu tort de</w:t>
      </w:r>
    </w:p>
    <w:p>
      <w:r>
        <w:t>Tribunal cantonal TC Page 3 de 4 prononcer la mainlevée définitive de son opposition et ne formule aucune critique à l'encontre du contenu de la décision querellée elle-même, ne remettant pas en cause la motivation de la Présidente conformément au prescrit de l’art. 321 CPC. En tout état de cause, à supposer que le recourant entendait demander une restitution du délai pour se déterminer sur la requête de mainlevée définitive du 26 juin 2018 – ce qui n’est pas clair –, sa demande aurait été de toute manière tardive, dès lors qu’elle n’a pas été formée en temps utile, soit dans les dix jours qui suivent celui où la cause du prétendu empêchement – à savoir son absence en raison de ses vacances – a disparu (art. 148 al. 2 CPC). Par surabondance de motifs, l’absence de faute apparaît d’emblée douteuse, dès lors que tout indique le recourant est parti en vacances sans prendre de dispositions quant aux notifications judiciaires auxquelles il devait s'attendre suite à son opposition totale au commandement de payer litigieux qui, pour mémoire, lui a été notifié le 5 juin 2018. Il s’ensuit l’irrecevabilité des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3.2</w:t>
      </w:r>
    </w:p>
    <w:p>
      <w:r>
        <w:t>En l’espèce, dès lors que le créancier poursuivant avait produit un titre exécutoire et que le débiteur n’a pas établi par titre avoir payé sa dette (art. 81 al. 1 LP), la mainlevée définitive devait être prononcée. En effet, le juge de la mainlevée n’a pas à examiner la validité de la créance, son rôle se limitant à la constatation de l’existence ou non d’un titre de mainlevée exécutoire.</w:t>
      </w:r>
    </w:p>
    <w:p>
      <w:r>
        <w:t>Tribunal cantonal TC Page 4 de 4</w:t>
      </w:r>
    </w:p>
    <w:p>
      <w:r>
        <w:rPr>
          <w:b/>
        </w:rPr>
        <w:t>E. 4.1</w:t>
      </w:r>
    </w:p>
    <w:p>
      <w:r>
        <w:t>Les frais de la procédure de recours doivent être mis à la charge du recourant, qui succombe (art. 106 al. 1 CPC). Ils comprennent les frais judiciaires, fixés forfaitairement à CHF 100.- (art. 48 et 61 al. 1 OELP).</w:t>
      </w:r>
    </w:p>
    <w:p>
      <w:r>
        <w:rPr>
          <w:b/>
        </w:rPr>
        <w:t>E. 4.2</w:t>
      </w:r>
    </w:p>
    <w:p>
      <w:r>
        <w:t>Il n’y a pas lieu d’allouer de dépens à l’intimé dans le cas d’espèce, dès lors qu’il n’a pas été invité à se déterminer sur le recours, conformément au prescrit de l’art. 322 CPC. la Cour arrête: I. Le recours est irrecevable.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septembre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