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232 vom 18. September 2018</w:t>
      </w:r>
    </w:p>
    <w:p>
      <w:r>
        <w:t>FR Kantonsgericht, 2018-09-18, FR</w:t>
      </w:r>
    </w:p>
    <w:p>
      <w:r>
        <w:rPr>
          <w:b/>
        </w:rPr>
        <w:t xml:space="preserve">Quelle: </w:t>
      </w:r>
      <w:r>
        <w:t>https://mcp.opencaselaw.ch/entscheid/fr_gerichte_102_2018_232</w:t>
      </w:r>
    </w:p>
    <w:p>
      <w:r>
        <w:t>FR: FR_GERICHTE 102 2018 232 du 18 septembre 2018</w:t>
      </w:r>
    </w:p>
    <w:p>
      <w:r>
        <w:t>IT: FR_GERICHTE 102 2018 232 del 18 settembre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cognition de la Cour d’appel est pleine et entière en droit; s’agissant des faits, elle est limitée à leur constatation manifestement inexacte (art. 320 CPC).</w:t>
      </w:r>
    </w:p>
    <w:p>
      <w:r>
        <w:rPr>
          <w:b/>
        </w:rPr>
        <w:t>E. 1.2</w:t>
      </w:r>
    </w:p>
    <w:p>
      <w:r>
        <w:t>La valeur litigieuse est de CHF 687'490.55.</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La recourante a produit, au stade du recours, diverses pièces qui ne figuraient pas dans le dossier de première instance. Il en va ainsi en particulier d’un extrait d'un procès-verbal d’audition tenu par le Tribunal d’arrondissement de la Gruyère le 20 septembre 2017 vraisemblablement dans le cadre d’une autre procédure divisant les parties. Ces nouveaux moyens, tardifs au regard de l’art. 326 al. 1 CPC, sont ainsi irrecevables. Il n’en sera dès lors pas tenu compte et la Cour statuera sur la base des allégués et des pièces produites en première instance.</w:t>
      </w:r>
    </w:p>
    <w:p>
      <w:r>
        <w:t>Tribunal cantonal TC Page 3 de 4</w:t>
      </w:r>
    </w:p>
    <w:p>
      <w:r>
        <w:rPr>
          <w:b/>
        </w:rPr>
        <w:t>E. 2.1</w:t>
      </w:r>
    </w:p>
    <w:p>
      <w:r>
        <w:t>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ne contient aucune motivation idoine. En effet, la recourante n’a formulé aucun grief concret, ayant un minimum de consistance, à l’encontre de la décision querellée. Elle se contente de se référer à l’argumentation figurant dans ses nombreux mémoires, vraisemblablement déposés dans le cadre de procédures distinctes. Au vu de ce qui précède, la recourante n’a pas respecté les exigences précitées, ce qui s’apparente à un défaut de motivation (art. 321 al. 1 CPC) et son recours doit par conséquent être déclaré irrecevable. Elle ne conteste pas au demeurant le fait que le jugement rendu le 18 septembre 2014 par le Tribunal de Baden-Baden constitue en soi un titre de mainlevée définitive. La seule motivation figurant dans le recours se rapporte à des déclarations faites par un représentant de la créancière devant le Tribunal de la Gruyère le 20 septembre 2017, qui tendraient selon elle à établir que le montant dû aurait été remboursé. Comme déjà relevé précédemment, les faits et moyens de preuve nouveaux sont irrecevables et la recourante ne saurait s’en prévaloir.</w:t>
      </w:r>
    </w:p>
    <w:p>
      <w:r>
        <w:rPr>
          <w:b/>
        </w:rPr>
        <w:t>E. 3.1</w:t>
      </w:r>
    </w:p>
    <w:p>
      <w:r>
        <w:t>Les frais de la procédure de recours doivent être mis à la charge de la recourante, qui succombe (art. 106 al. 1 CPC). Ils comprennent les frais judiciaires, fixés forfaitairement à CHF 300.- (art. 48 et 61 al. 1 OELP).</w:t>
      </w:r>
    </w:p>
    <w:p>
      <w:r>
        <w:rPr>
          <w:b/>
        </w:rPr>
        <w:t>E. 3.2</w:t>
      </w:r>
    </w:p>
    <w:p>
      <w:r>
        <w:t>Dans la mesure où l’intimée n’a pas été invitée à se déterminer, conformément au prescrit de l’art. 322 al. 1 CPC, il ne lui sera pas alloué de dépens. (dispositif en page suivante)</w:t>
      </w:r>
    </w:p>
    <w:p>
      <w:r>
        <w:t>Tribunal cantonal TC Page 4 de 4 la Cour arrête : I. Le recours est irrecevable. II. Les frais de la procédure de recours sont mis à la charge de A.________. Les frais judiciaires sont fixés à CHF 300.-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septembre 2018/fmi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