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207 vom 31. August 2018</w:t>
      </w:r>
    </w:p>
    <w:p>
      <w:r>
        <w:t>FR Kantonsgericht, 2018-08-31, FR</w:t>
      </w:r>
    </w:p>
    <w:p>
      <w:r>
        <w:rPr>
          <w:b/>
        </w:rPr>
        <w:t xml:space="preserve">Quelle: </w:t>
      </w:r>
      <w:r>
        <w:t>https://mcp.opencaselaw.ch/entscheid/fr_gerichte_102_2018_207</w:t>
      </w:r>
    </w:p>
    <w:p>
      <w:r>
        <w:t>FR: FR_GERICHTE 102 2018 207 du 31 août 2018</w:t>
      </w:r>
    </w:p>
    <w:p>
      <w:r>
        <w:t>IT: FR_GERICHTE 102 2018 207 del 31 agosto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4 juillet 2018, soit le dernier jour du délai de garde postal. Déposé le 14 juillet 2018, le recours a été interjeté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w:t>
      </w:r>
    </w:p>
    <w:p>
      <w:r>
        <w:t>Tribunal cantonal TC Page 3 de 4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Le débiteur a dans le délai de recours versé au greffe du Tribunal cantonal la totalité du montant de la créance faisant l’objet de la procédure de faillite, intérêts et frais y compris, de telle sorte que la première condition cumulative exigée par l’art. 174 al. 2 LP est réalisée.</w:t>
      </w:r>
    </w:p>
    <w:p>
      <w:r>
        <w:rPr>
          <w:b/>
        </w:rPr>
        <w:t>E. 2.3</w:t>
      </w:r>
    </w:p>
    <w:p>
      <w:r>
        <w:t>La question à examiner est dès lors celle de savoir s’il a également rendu vraisemblable sa solvabilité. Après examen et analyse du dossier, la Cour ne peut qu’y répondre négativement. En effet, la présence à elle seule de plusieurs comminations de faillite et de plusieurs poursuites exécutoires au stade de la saisie, pour un montant de CHF 36'221.- selon extrait de l’Office des poursuites établi le 25 juillet 2018 (soit pourtant plus de 10 jours encore après le dépôt du recours), empêche déjà à elle seule de retenir la vraisemblance de solvabilité. De toute évidence, le montant de CHF 30'000.- reçu de D.________, dont on ignore ce qu’il est advenu, n’a pas permis de solder les poursuites exécutoires en cours. Le montant de CHF 10'000.- que le débiteur devrait encore encaisser non plus. De plus, les aménagements effectués dans le restaurant par le débiteur, tout comme le mobilier et l’inventaire du restaurant, ne sont pas des valeurs liquides qui permettraient de rembourser sans délai les créanciers. Finalement, la Cour constate que le débiteur n’a pas allégué, ni documenté l’état de ses charges courantes (loyer, pensions alimentaires en cours pour ses enfants, autres charges) de telle sorte qu’il n’est pas possible d’analyser sa situation financière</w:t>
      </w:r>
    </w:p>
    <w:p>
      <w:r>
        <w:t>Tribunal cantonal TC Page 4 de 4 et ses charges. Sur le vu de tout ce qui précède, il s’ensuit le rejet du recours, la deuxième condition cumulative exigée par l’art. 174 al. 2 LP n’étant pas remplie en l’espèce.</w:t>
      </w:r>
    </w:p>
    <w:p>
      <w:r>
        <w:rPr>
          <w:b/>
        </w:rPr>
        <w:t>E. 3</w:t>
      </w:r>
    </w:p>
    <w:p>
      <w:r>
        <w:t>Le recours étant rejeté, le montant de CHF 4'000.- versé sur le compte du greffe du Tribunal cantonal sera versé sur le compte de l’Office cantonal des faillites.</w:t>
      </w:r>
    </w:p>
    <w:p>
      <w:r>
        <w:rPr>
          <w:b/>
        </w:rPr>
        <w:t>E. 4.1</w:t>
      </w:r>
    </w:p>
    <w:p>
      <w:r>
        <w:t>Les frais de la procédure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Ils seront prélevés sur l’avance effectuée.</w:t>
      </w:r>
    </w:p>
    <w:p>
      <w:r>
        <w:rPr>
          <w:b/>
        </w:rPr>
        <w:t>E. 4.2</w:t>
      </w:r>
    </w:p>
    <w:p>
      <w:r>
        <w:t>Il n’est pas alloué de dépens, l’intimée n’en ayant pas requis. la Cour arrête: I. Le recours est rejeté. II. Le montant de CHF 4'000.- sera transféré sans délai par le service comptable du Tribunal cantonal à l’Office cantonal des faillites. III. Les frais de la procédure de recours sont mis à la charge de A.________. Les frais judiciaires dus à l’Etat sont fixés à CHF 500.- (émolument forfaitaire). Ils seront prélevés sur l’avance de frais effectuée.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août 2018/fmi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