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124 vom 28. Mai 2018</w:t>
      </w:r>
    </w:p>
    <w:p>
      <w:r>
        <w:t>FR Kantonsgericht, 2018-05-28, DE</w:t>
      </w:r>
    </w:p>
    <w:p>
      <w:r>
        <w:rPr>
          <w:b/>
        </w:rPr>
        <w:t xml:space="preserve">Quelle: </w:t>
      </w:r>
      <w:r>
        <w:t>https://mcp.opencaselaw.ch/entscheid/fr_gerichte_102_2018_124</w:t>
      </w:r>
    </w:p>
    <w:p>
      <w:r>
        <w:t>FR: FR_GERICHTE 102 2018 124 du 28 mai 2018</w:t>
      </w:r>
    </w:p>
    <w:p>
      <w:r>
        <w:t>IT: FR_GERICHTE 102 2018 124 del 28 maggio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 En l'espèce, la décision attaquée n'a pas pu être notifiée à la recourante; reçu au greffe du Tribunal cantonal le 23 avril 2018, le recours a dès lors été interjeté en temps utile.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1.4</w:t>
      </w:r>
    </w:p>
    <w:p>
      <w:r>
        <w:t>Aux termes de l'art. 322 al. 1 CPC, le recours est notifié pour détermination à la partie adverse, sauf s'il est manifestement irrecevable ou infondé. En l'espèce, vu le sort à donner au recours, il n'a pas été ordonné d'échange d'écritures.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Tribunal cantonal TC Page 3 de 4 TF 5A_912/2013 du 18 février 2014 consid. 3; arrêt TC FR du 23 février 1999 in RFJ 1999 82). La solvabilité, au sens de l'art. 174 al. 2 LP, se définit par opposition à l'insolvabilité au sens de l'art. 191 LP (arrêt TF 5P.399/1999 du 14 janvier 2000 consid. 2b; BSK SchKG II – GIROUD, 2ème éd. 2010, art. 174 n. 26); elle consiste en la capacité du débiteur de disposer de liquidités suffisantes pour payer ses dette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 En plus de ces documents, le poursuivi doit établir qu'aucune requête de faillite n'est pendante contre lui et qu'aucune poursuite exécutoire n'est en cours contre lui; il s'agit d'un minimum qui doit être exigé (arrêt TF 5A_912/2013 du 18 février 2014 consid. 3). L’extrait du registre des poursuites constitue un document indispensable pour évaluer la solvabilité du failli (arrêt TC FR A2 2004 190 du 17 mars 2005 consid. 2b in RFJ 2005 392).</w:t>
      </w:r>
    </w:p>
    <w:p>
      <w:r>
        <w:rPr>
          <w:b/>
        </w:rPr>
        <w:t>E. 2.2</w:t>
      </w:r>
    </w:p>
    <w:p>
      <w:r>
        <w:t>En l'espèce, le gérant de la recourante donne des explications sur la situation "un peu particulière" dans laquelle se trouve la société, dès lors que celle-ci n'aurait pas d'activité depuis plusieurs mois en raison de sa situation personnelle et de travaux. Il propose en outre de payer le montant indiqué dans la réquisition de faillite à raison de cinq mensualités. Dans ces conditions, la Cour doit constater que la dette objet de la commination de faillite n'a pas été payée et que la faillie ne produit pas de documents de nature à rendre vraisemblable sa solvabilité. De plus, outre la poursuite ayant donné lieu au prononcé de la faillite, elle fait actuellement l'objet de quatre autres comminations de faillite, ce qui donne à penser que la faillie ne se trouve pas uniquement de manière temporaire dans l'impossibilité d'honorer ses dettes échues, mais que ses difficultés financières sont au contraire durables. Partant, le recours doit être rejeté, et la faillite prononcée en première instance confirmée. Au vu de ce qui précède, il importe peu que la demande d'avance de frais n'a pas pu être notifiée à la recourante et qu'elle n'en a pas acquitté le montant.</w:t>
      </w:r>
    </w:p>
    <w:p>
      <w:r>
        <w:rPr>
          <w:b/>
        </w:rPr>
        <w:t>E. 3</w:t>
      </w:r>
    </w:p>
    <w:p>
      <w:r>
        <w:t>L’attention de la recourante est attirée sur la possibilité d’obtenir la révocation de la faillite aux conditions de l’art. 195 LP.</w:t>
      </w:r>
    </w:p>
    <w:p>
      <w:r>
        <w:rPr>
          <w:b/>
        </w:rPr>
        <w:t>E. 4</w:t>
      </w:r>
    </w:p>
    <w:p>
      <w:r>
        <w:t>Les frais judiciaires de la procédure de recours sont mis à la charge de la recourante, qui succombe (art. 106 al. 1 CPC). Ils sont fixés forfaitairement à CHF 500.-. Il n’est pas alloué de dépens, l’intimée n’ayant pas été invitée à se déterminer sur le recours. Tribunal cantonal TC Page 4 de 4 la Cour arrête: I. Le recours est rejeté. Partant, la décision du Président du Tribunal civil de l'arrondissement de la Veveyse du 10 avril 2018 est confirmée. Elle a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