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114 vom 11. Mai 2018</w:t>
      </w:r>
    </w:p>
    <w:p>
      <w:r>
        <w:t>FR Kantonsgericht, 2018-05-11, FR</w:t>
      </w:r>
    </w:p>
    <w:p>
      <w:r>
        <w:rPr>
          <w:b/>
        </w:rPr>
        <w:t xml:space="preserve">Quelle: </w:t>
      </w:r>
      <w:r>
        <w:t>https://mcp.opencaselaw.ch/entscheid/fr_gerichte_102_2018_114</w:t>
      </w:r>
    </w:p>
    <w:p>
      <w:r>
        <w:t>FR: FR_GERICHTE 102 2018 114 du 11 mai 2018</w:t>
      </w:r>
    </w:p>
    <w:p>
      <w:r>
        <w:t>IT: FR_GERICHTE 102 2018 114 del 11 maggio 2018</w:t>
      </w:r>
    </w:p>
    <w:p>
      <w:pPr>
        <w:pStyle w:val="Heading2"/>
      </w:pPr>
      <w:r>
        <w:t>Regeste</w:t>
      </w:r>
    </w:p>
    <w:p>
      <w:r>
        <w:t>Arrêt de la IIe Cour d'appel civil du Tribunal cantonal | Revision (Art. 328-333 ZPO)</w:t>
      </w:r>
    </w:p>
    <w:p>
      <w:pPr>
        <w:pStyle w:val="Heading2"/>
      </w:pPr>
      <w:r>
        <w:t>Erwägungen</w:t>
      </w:r>
    </w:p>
    <w:p>
      <w:r>
        <w:rPr>
          <w:b/>
        </w:rPr>
        <w:t>E. 23</w:t>
      </w:r>
    </w:p>
    <w:p>
      <w:r>
        <w:t>mars 2018 est confirmée. II. La requête de mesures provisionnelles urgentes est sans objet. III. Les frais de la procédure sont mis à la charge de A.________. Les frais judiciaires sont fixés à CHF 150.-. IV. Notification.</w:t>
      </w:r>
    </w:p>
    <w:p>
      <w:r>
        <w:t>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11 mai 2018/dbe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