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111 vom 22. August 2018</w:t>
      </w:r>
    </w:p>
    <w:p>
      <w:r>
        <w:t>FR Kantonsgericht, 2018-08-22, FR</w:t>
      </w:r>
    </w:p>
    <w:p>
      <w:r>
        <w:rPr>
          <w:b/>
        </w:rPr>
        <w:t xml:space="preserve">Quelle: </w:t>
      </w:r>
      <w:r>
        <w:t>https://mcp.opencaselaw.ch/entscheid/fr_gerichte_102_2018_111</w:t>
      </w:r>
    </w:p>
    <w:p>
      <w:r>
        <w:t>FR: FR_GERICHTE 102 2018 111 du 22 août 2018</w:t>
      </w:r>
    </w:p>
    <w:p>
      <w:r>
        <w:t>IT: FR_GERICHTE 102 2018 111 del 22 agosto 2018</w:t>
      </w:r>
    </w:p>
    <w:p>
      <w:pPr>
        <w:pStyle w:val="Heading2"/>
      </w:pPr>
      <w:r>
        <w:t>Regeste</w:t>
      </w:r>
    </w:p>
    <w:p>
      <w:r>
        <w:t>Arrêt de la IIe Cour d'appel civil du Tribunal cantonal | Rechtsöffnung</w:t>
      </w:r>
    </w:p>
    <w:p>
      <w:pPr>
        <w:pStyle w:val="Heading2"/>
      </w:pPr>
      <w:r>
        <w:t>Erwägungen</w:t>
      </w:r>
    </w:p>
    <w:p>
      <w:r>
        <w:rPr>
          <w:b/>
        </w:rPr>
        <w:t>E. 28</w:t>
      </w:r>
    </w:p>
    <w:p>
      <w:r>
        <w:t>mars 2018. Il conclut, avec suite de frais, à l'annulation de la décision du 14 mars 2018. Il estime que le Président a procédé à une interprétation arbitraire de la clause pénale dont la condition, soit le refus sans juste motif de signer le contrat de vente final, est, selon lui, remplie. Il allègue en outre que c’est arbitrairement que le Président a constaté qu’il n’était pas en possession d’une reconnaissance de dette pour les prétentions qu’il a fait valoir suite au remplacement effectué dans l’entreprise de l’intimé au mois de juillet 2017. Dans sa réponse du 3 mai 2018, B.________ a conclu, dans la mesure de sa recevabilité, au rejet du recours avec suite de frais. en droit 1. 1.1. Seule la voie du recours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de CHF 30'795.-. 2. 2.1. Le recourant estime que les différences entre la promesse d’achat et de vente et le contrat de vente relevées par le premier juge pour refuser la mainlevée ne sont pas un motif suffisant pour permettre à l’intimé de refuser la conclusion du contrat. Le recourant souhaitait finaliser le contrat, quitte à prolonger une deuxième fois le délai prévu dans la promesse d’achat et de vente, et il a informé l’intimé de son envie de maintenir les négociations et de son ouverture à toute proposition de modification du contrat de vente proposé le 26 juillet 2017 (cf. recours p. 6 et 7). Il estime que les différences entre la promesse d’achat et de vente et le contrat de vente qu’il a proposé ne jouent aucun rôle en l’espèce (cf. recours p. 9). Quant aux autres prétentions, il soutient que la promesse d’achat et de vente constitue une reconnaissance de dette dans la mesure où l’intimé s’est engagé à donner au recourant l’accès à toutes les données administratives, contrats, comptes, classeurs ou fichiers informatiques notamment permettant de préparer la reprise dans les meilleures conditions (cf. recours p. 10 in fine). 2.2. Aux termes de l’art. 82 LP, le créancier dont la poursuite se fonde sur une reconnaissance de dette constatée par acte authentique ou sous seing privé peut requérir la mainlevée provisoire</w:t>
      </w:r>
    </w:p>
    <w:p>
      <w:r>
        <w:t>Tribunal cantonal TC Page 4 de 6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Un contrat écrit justifie en principe la mainlevée provisoire de l’opposition pour la somme d’argent incombant au poursuivi si les conditions d’exigibilité de la dette sont établies. Le poursuivi peut faire échec à la mainlevée en rendant immédiatement vraisemblable sa libération (art. 82 al. 2 LP). Il peut soulever toutes les exceptions et toutes les objections que lui confère le droit matériel relatif à la créance déduite en poursuite. De simples allégations sont insuffisantes : le débiteur doit produire ses preuves à l'audience (cf. CR LP-SCHMIDT, art. 82 LP n. 30 à 32).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 2.3. En l’espèce, la clause pénale prévue à l’art. 12 de la promesse d’achat et de vente entre B.________ et A.________ a la teneur suivante : « Si une partie refuse de signer le contrat de vente définitif d’ici au 30 juin 2017 au plus tard, elle s’oblige à verser à cette date à l’autre partie une indemnité forfaitaire de CHF 20'000.- à titre de clause pénale. La signature du présent contrat vaut reconnaissance de dette au sens de l’article 82 LP. ». L’intimé a objecté que le contrat de vente définitif qui lui a été soumis par le requérant était abusif et a relevé les différences essentielles entre ce contrat et la promesse d’achat et de vente, notamment la conclusion du contrat avec un autre acheteur, qui motivent son refus de signer le contrat de vente définitif. Les parties à la promesse d’achat et de vente et au contrat de vente de vente définitif ne sont pas les mêmes. En effet, A.________ n’est plus l’acheteur mais c’est la société E.________ SA en formation, qu’il représente uniquement, qui est mentionnée comme acheteur dans le contrat de vente ; ce nouveau contrat ne peut se conclure sans le consentement exprès du vendeur. Pour ce seul motif déjà, A.________ ne peut prétendre que le montant de la clause pénale prévue en cas de refus de signer le contrat de vente définitif lui est dû puisqu’il n’est pas partie au contrat de vente. Dans la mesure où l’identité des parties de la promesse d’achat et de vente et du contrat de vente définitif n’est plus la même, le poursuivant ne peut se prévaloir d’une créance tirée du refus du vendeur de conclure le contrat définitif avec un autre acheteur. Par conséquent, il n’est pas</w:t>
      </w:r>
    </w:p>
    <w:p>
      <w:r>
        <w:t>Tribunal cantonal TC Page 5 de 6 nécessaire d’examiner les différences entre les deux contrats. Néanmoins, la Cour fait siennes les considérations du premier juge à ce sujet et s’y réfère expressément pour constater que ces différences importantes existent réellement - ce que le recourant ne conteste pas puisqu’il ne critique pas ce point de la décision -, qu’elles sont rédhibitoires et empêchent de prononcer la mainlevée de l’opposition (cf. décision p. 4 à 5, DO 58 et 59). En effet, l’intimé a refusé de conclure le contrat de vente définitif pour de justes motifs. 2.4. Pas plus que le Président, la Cour ne voit dans la promesse d’achat et de vente un titre de mainlevée justifiant les prétentions du recourant en salaire, en frais de véhicule, de représentation, de petites fournitures et autres frais. En effet, de l’art. 14 énoncé par le recourant ne ressort nullement la volonté de l’intimé de payer au recourant, sans réserve ni condition, une somme d’argent déterminée, ou aisément déterminable. Il s’ensuit le rejet de ce grief. 3. Les frais de la procédure de recours sont mis à la charge du recourant, qui succombe (art. 106 al. 1 CPC). 3.1. Ils comprennent, d’une part, les frais judiciaires fixés forfaitairement à CHF 400.- (art. 48 et 61 al. 1 OELP) qui seront prélevés sur l’avance effectuée. 3.2.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1'000.-, TVA par CHF 71.50 comprise. . (dispositif en page suivante)</w:t>
      </w:r>
    </w:p>
    <w:p>
      <w:r>
        <w:t>Tribunal cantonal TC Page 6 de 6 la Cour arrête : I. Le recours est rejeté. II. Les frais de procédure de recours sont mis à la charge de A.________. Les frais judiciaires dus à l’Etat, fixés forfaitairement à CHF 400.-, sont prélevés sur l’avance de frais effectuée par A.________. Les dépens dus à B.________ par A.________ sont fixés à CHF 1'000.-, TVA par CHF 71.50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