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87 vom 4. Mai 2017</w:t>
      </w:r>
    </w:p>
    <w:p>
      <w:r>
        <w:t>FR Kantonsgericht, 2017-05-04, FR</w:t>
      </w:r>
    </w:p>
    <w:p>
      <w:r>
        <w:rPr>
          <w:b/>
        </w:rPr>
        <w:t xml:space="preserve">Quelle: </w:t>
      </w:r>
      <w:r>
        <w:t>https://mcp.opencaselaw.ch/entscheid/fr_gerichte_102_2017_87</w:t>
      </w:r>
    </w:p>
    <w:p>
      <w:r>
        <w:t>FR: FR_GERICHTE 102 2017 87 du 4 mai 2017</w:t>
      </w:r>
    </w:p>
    <w:p>
      <w:r>
        <w:t>IT: FR_GERICHTE 102 2017 87 del 4 maggio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au recourant le 7 février 2017 et celui-ci a recouru le 16 février 2017,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TC FR du 23 février 1999, in RFJ 1999 82). La solvabilité, au sens de l’art. 174 al. 2 LP, se définit par opposition à l’insolvabilité au sens de l’art. 191 LP (arrêt TF 5P.399/1999 du 14 janvier 2000 consid. 2b; BSK SchKG II-GIROUD, 2010, art. 174 LP n. 26). Celle-ci, qui n'équivaut pas au surendettement, est l'incapacité du débiteur, en raison d'un manque de liquidités qui n'apparaît pas seulement temporaire, de payer ses dettes échues (arrêt TF précité du 14 janvier 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w:t>
      </w:r>
    </w:p>
    <w:p>
      <w:r>
        <w:t>Tribunal cantonal TC Page 3 de 4 concrets tels que récépissés de paiements, justificatifs des moyens financiers (avoirs en banque, crédit bancaire) à sa disposition, liste des débiteurs, extrait du registre des poursuites, comptes annuels récents, bilan intermédiaire, etc. (arrêt TF précité du 14 janvier 2000 consid. 2b; arrêt TC FR du 8 juin 2001, in RFJ 2001 69; GIROUD, art. 174 LP n. 26). En plus de ces documents, le poursuivi doit établir qu'aucune requête de faillite n'est pendante contre lui et qu'aucune poursuite exécutoire n'est en cours contre lui; il s'agit d'un minimum qui doit être exigé (ATF 102 Ia 153 / JdT 1977 II 45 consid. 3; GILLIÉRON, Commentaire de la loi fédérale sur la poursuite pour dettes et faillites, 2001, art. 174 LP n. 44). Lorsque des poursuites ont atteint le stade de la commination de faillite, le débiteur doit en principe prouver par titre qu'une des hypothèses de l'art. 174 al. 2 ch. 1 à</w:t>
      </w:r>
    </w:p>
    <w:p>
      <w:r>
        <w:rPr>
          <w:b/>
        </w:rPr>
        <w:t>E. 3</w:t>
      </w:r>
    </w:p>
    <w:p>
      <w:r>
        <w:t>a) Le 23 mars 2017, soit dans le délai de recours, la recourante s’est acquittée de la totalité du montant à rembourser en mains de la créancière; le même jour, celle-ci a retiré sa réquisition de faillite. Partant, la première condition cumulative de l’art. 174 al. 2 LP est réalisée. b) Pour le surplus, la recourante a produit différentes pièces tendant à rendre vraisemblable sa solvabilité; en particulier, elle rend vraisemblable, d’une part, qu'elle a réglé l'ensemble des poursuites au stade de la commination de faillite (cf. le bordereau complémentaire du 30 mars 2017) et, d’autre part, qu'elle a des factures ouvertes pour un montant total de CHF 660'000.- environ, ce qui serait de nature à lui permettre de payer les autres poursuites actuellement pendantes, ce qu’elle a d’ailleurs fait selon les quittances des 13 et 24 avril 2017 de l’Office des poursuites de la Sarine. Au vu de ce qui précède, il y a lieu d’admettre que la recourante a rendu sa solvabilité vraisemblable, de sorte que la deuxième condition cumulative est satisfaite. Partant, le recours doit être admis et la faillite annulée.</w:t>
      </w:r>
    </w:p>
    <w:p>
      <w:r>
        <w:rPr>
          <w:b/>
        </w:rPr>
        <w:t>E. 4</w:t>
      </w:r>
    </w:p>
    <w:p>
      <w:r>
        <w:t>a) Malgré l’admission du recours, les frais de la première et de la seconde instance sont mis à la charge de la société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10 avril 2017. b) Il n’est pas alloué de dépens à B.________ qui, bien qu’invitée à se déterminer sur le recours, ne s’est pas manifestée dans le délai imparti à cet effet.</w:t>
      </w:r>
    </w:p>
    <w:p>
      <w:r>
        <w:t>Tribunal cantonal TC Page 4 de 4 la Cour arrête: I. Le recours est admis. Partant, la décision du 20 mars 2017 rendue par la Présidente du Tribunal civil de l’arrondissement de la Sarine prononçant la faillite de la société A.________ est annulée. II. Les frais de procédure des deux instances sont mis à la charge de la société A.________. L'émolument global s'élève à CHF 160.- pour la première instance; il sera prélevé sur l'avance effectuée par B.________, qui a droit à son remboursement par la société A.________. Le solde de l’avance de frais sera restitué à B.________. L’émolument global est fixé à CHF 500.- pour la seconde instance; il sera prélevé sur l’avance effectuée par la société A.________. Il n’est pas alloué de dépens à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2017/lda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