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78 vom 3. Mai 2017</w:t>
      </w:r>
    </w:p>
    <w:p>
      <w:r>
        <w:t>FR Kantonsgericht, 2017-05-03, DE</w:t>
      </w:r>
    </w:p>
    <w:p>
      <w:r>
        <w:rPr>
          <w:b/>
        </w:rPr>
        <w:t xml:space="preserve">Quelle: </w:t>
      </w:r>
      <w:r>
        <w:t>https://mcp.opencaselaw.ch/entscheid/fr_gerichte_102_2017_78</w:t>
      </w:r>
    </w:p>
    <w:p>
      <w:r>
        <w:t>FR: FR_GERICHTE 102 2017 78 du 3 mai 2017</w:t>
      </w:r>
    </w:p>
    <w:p>
      <w:r>
        <w:t>IT: FR_GERICHTE 102 2017 78 del 3 maggio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b) La procédure étant sommaire, le délai de recours est de dix jours à compter de la notification (art. 251 let. a et 321 al. 2 CPC). La décision querellée a été notifiée à la recourante le 27 février 2017, si bien que le recours, déposé le 2 mars 2017, l’a été en temps utile. c) La valeur litigieuse en deuxième instance est de CHF 8'287.50. d) La cognition de la Cour d'appel est pleine et entière en droit; s'agissant des faits, elle est en revanche limitée à leur constatation manifestement inexacte (art. 320 CPC). e)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SUTTER-SOMM/ HASENBÖHLER/LEUENBERGER, Kommentar zur schweizerischen Zivilprozessordnung, 3e éd. 2016, art. 326 n. 4). En l’espèce, la recourante a produit pour la première fois, à ce stade de la procédure seulement, de nombreux reçus de transferts d’argent qu’auraient effectués B.________ pour le compte de la société recourante. Cette dernière a également allégué, dans le cadre de son recours uniquement, qu’une procédure judiciaire avait été ouverte à l’encontre de B.________. Ces nouveaux moyens, tardifs au regard de l’art. 326 al. 1 CPC, sont ainsi irrecevables. Il n’en sera dès lors pas tenu compte et la Cour statuera sur la base des allégués et des pièces produits en première instance. Tribunal cantonal TC Page 3 de 4 f) En application de l’art. 327 al. 2 CPC, la Cour d'appel peut statuer sur pièces, sans tenir audience.</w:t>
      </w:r>
    </w:p>
    <w:p>
      <w:r>
        <w:rPr>
          <w:b/>
        </w:rPr>
        <w:t>E. 2</w:t>
      </w:r>
    </w:p>
    <w:p>
      <w:r>
        <w:t>a)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Aux termes de l’art. 82 al. 1 LP, le créancier dont la poursuite se fonde sur une reconnaissance de dette peut requérir la mainlevée provisoire. Le juge la prononce si le débiteur ne rend pas immédiatement vraisemblable sa libération (art. 82 al. 2).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Il doit en effet exister un lien manifeste et non équivoque entre la reconnaissance de dette et les autres pièces, et le montant dû doit pouvoir être calculé facilement sur la base de ces pièces (arrêt TF 5A_867/2012 du 7 mars 2013 consid. 4.1 et les réf. citées). Selon la jurisprudence cantonale et la doctrine, le montant de la créance peut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 b) Le Président a refusé de prononcer la mainlevée en raison de l’absence d’une reconnaissance de dette au sens de l’art. 82 LP, laquelle ne peut pas même être reconnue par un rapprochement des pièces produites par la requérante. c) La recourante conteste cette décision et soutient que le débiteur ne lui a pas restitué la somme de CHF 8'287.50 qu’il a collectée dans le cadre de son activité pour le compte de la recourante. La preuve de cette dette ressortirait des pièces qu’elle a produites. Tribunal cantonal TC Page 4 de 4 d) En l’espèce, la créancière a produit à l’appui de sa requête de mainlevée un « contrat d’agent » conclu et signé par les parties, le 6 mars 2014, prévoyant, en substance, que l’intimé est chargé d’effectuer, pour le compte de la société recourante, des transferts de fonds moyennant une commission, et réglant leurs rapports. Le montant des transferts effectués par B.________, en particulier celui que réclame la recourante, ne ressort toutefois pas de ce contrat. Le montant poursuivi ne résulte pas non plus du rapprochement entre le contrat et les nombreuses pièces produites en vrac par la créancière, soit des échanges de correspondance et des décomptes bancaires, lesquelles ne permettent pas de chiffrer la dette. On ne peut donc considérer, comme l’exige la jurisprudence, que le montant dû peut être calculé facilement sur la base de ces pièces produites. Partant, aucun des documents produits ne constitue une reconnaissance de dette au sens de l’art. 82 LP, de sorte que la créancière n’est pas au bénéfice d’un titre de mainlevée provisoire. De même, elle ne dispose pas non plus d’un jugement exécutoire permettant d’obtenir la mainlevée définitive de l’opposition au sens de l’art. 80 al. 1 LP. Partant, c’est à bon droit que le premier juge a rejeté la requête de mainlevée introduite par la créancière et sa décision doit être confirmée. Pour faire reconnaître son droit, la société A.________ aurait dû introduire à l'encontre de l'intimé une action en reconnaissance de dette au sens de l'art. 79 al. 1 LP.</w:t>
      </w:r>
    </w:p>
    <w:p>
      <w:r>
        <w:rPr>
          <w:b/>
        </w:rPr>
        <w:t>E. 3</w:t>
      </w:r>
    </w:p>
    <w:p>
      <w:r>
        <w:t>a) Les frais de la procédure de recours doivent être mis à la charge de la recourante, qui succombe (art. 106 al. 1 CPC). Ils comprennent les frais judiciaires, fixés forfaitairement à CHF 250.- (art. 48 et 61 al. 1 OELP). b) Il n’y a pas lieu d’allouer de dépens à l’intimé qui ne s’est pas déterminé. la Cour arrête: I. Le recours est rejeté. II. Les frais de la procédure de recours sont mis à la charge de A.________. Les frais judiciaires sont fixés à CHF 250.-.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mai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