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351 vom 12. Dezember 2017</w:t>
      </w:r>
    </w:p>
    <w:p>
      <w:r>
        <w:t>FR Kantonsgericht, 2017-12-12, DE</w:t>
      </w:r>
    </w:p>
    <w:p>
      <w:r>
        <w:rPr>
          <w:b/>
        </w:rPr>
        <w:t xml:space="preserve">Quelle: </w:t>
      </w:r>
      <w:r>
        <w:t>https://mcp.opencaselaw.ch/entscheid/fr_gerichte_102_2017_351</w:t>
      </w:r>
    </w:p>
    <w:p>
      <w:r>
        <w:t>FR: FR_GERICHTE 102 2017 351 du 12 décembre 2017</w:t>
      </w:r>
    </w:p>
    <w:p>
      <w:r>
        <w:t>IT: FR_GERICHTE 102 2017 351 del 12 dicembre 2017</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23. November 2017 der Beschwerde (Art. 309 lit. b Ziff. 3 i.V.m. Art. 319 lit. a ZPO).</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lit. c des Reglements für das Kantonsgericht vom 22. November 2012 [RKG; SGF 131.11]).</w:t>
      </w:r>
    </w:p>
    <w:p>
      <w:r>
        <w:rPr>
          <w:b/>
        </w:rPr>
        <w:t>E. 1.3</w:t>
      </w:r>
    </w:p>
    <w:p>
      <w:r>
        <w:t>Gemäss Art. 251 lit. a ZPO werden Entscheide in Rechtsöffnungssachen im summarischen Verfahren gefällt. Die Beschwerdefrist beträgt im summarischen Verfahren 10 Tage (Art. 321 Abs.</w:t>
      </w:r>
    </w:p>
    <w:p>
      <w:r>
        <w:rPr>
          <w:b/>
        </w:rPr>
        <w:t>E. 1.4</w:t>
      </w:r>
    </w:p>
    <w:p>
      <w:r>
        <w:t>Aus der Beschwerdeschrift muss ersichtlich sein, gegen welchen Entscheid sie sich richtet, was daran falsch sein soll und was der Beschwerdeführer verlangt. An die Begründung der Beschwerde werden keine allzu hohen Anforderungen gestellt; es genügt, wenn sie eine</w:t>
      </w:r>
    </w:p>
    <w:p>
      <w:r>
        <w:t>Kantonsgericht KG Seite 3 von 4 verständliche und ausdrückliche Kritik am angefochtenen Entscheid enthält (BGE 118 III 1 E. 2a). Mindestens aber muss die Beschwerde einen Antrag und eine summarische Begründung aufweisen, ansonsten kann nicht darauf eingetreten werden. Die Beschwerde enthält sowohl einen Antrag als auch eine Begründung und es ist klar, gegen welchen Entscheid sie sich richtet; sie genügt folglich den gesetzlichen Anforderungen. Auf die form- und fristgerechte Beschwerde ist einzutreten.</w:t>
      </w:r>
    </w:p>
    <w:p>
      <w:r>
        <w:rPr>
          <w:b/>
        </w:rPr>
        <w:t>E. 1.5</w:t>
      </w:r>
    </w:p>
    <w:p>
      <w:r>
        <w:t>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w:t>
      </w:r>
    </w:p>
    <w:p>
      <w:r>
        <w:rPr>
          <w:b/>
        </w:rPr>
        <w:t>E. 1.6</w:t>
      </w:r>
    </w:p>
    <w:p>
      <w:r>
        <w:t>Neue Anträge, neue Tatsachenbehauptungen und neue Beweismittel sind ausgeschlossen (Art. 326 ZPO). In seiner Beschwerde vom 4. Dezember 2017 bringt der Beschwerdeführer vor, seine Verurteilung zu der der Betreibung zugrunde liegenden Busse sei aufgrund seiner Einsprache und des nun hängigen Verfahrens nicht rechtskräftig und reicht die Vorladung zur Sitzung des Polizeirichters des B.________ vom 30. Januar 2018 ein. Es ist festzustellen, dass der Beschwerdeführer im erstinstanzlichen Rechtsöffnungsverfahren innert der ihm mit Verfügung vom 11. Oktober 2017 durch die Präsidentin ad hoc des Zivilgerichts des B.________ angesetzten Frist keine Stellungnahme einreichte. Somit handelt es sich beim Vorbringen des Beschwerdeführers, wonach der Strafbefehl nicht rechtskräftig sei, um eine neue Tatsachenbehauptung, welche im Beschwerdeverfahren ausgeschlossen ist. Im Übrigen stützt sich die Betreibung Nr. ccc auf den vollstreckbaren und rechtskräftigen Strafbefehl vom 23. März 2017 (D 16 1548), währenddem sich die vom Beschwerdeführer eingereichte Vorladung auf einen Strafbefehl vom 23. Mai 2017 bezieht. Es scheint sich somit nicht um denselben Strafbefehl zu handeln.</w:t>
      </w:r>
    </w:p>
    <w:p>
      <w:r>
        <w:rPr>
          <w:b/>
        </w:rPr>
        <w:t>E. 1.7</w:t>
      </w:r>
    </w:p>
    <w:p>
      <w:r>
        <w:t>Weitere Rügen enthält die Beschwerdeschrift nicht. Der angefochtene Entscheid ist im Ergebnis nicht zu beanstanden und die Beschwerde folglich abzuweisen.</w:t>
      </w:r>
    </w:p>
    <w:p>
      <w:r>
        <w:rPr>
          <w:b/>
        </w:rPr>
        <w:t>E. 2</w:t>
      </w:r>
    </w:p>
    <w:p>
      <w:r>
        <w:t>Die Prozesskosten werden der unterliegenden Partei auferlegt (Art. 106 Abs. 1 ZPO). Der Beschwerdeführer ist mit seinen Anträgen nicht durchgedrungen und hat daher die Prozesskosten zu tragen. Die Gerichtskosten sind namentlich in Berücksichtigung der in Betreibung gesetzten Summe auf pauschal CHF 150.- festzusetzen (Art. 48 und 61 Abs. 1 GebV SchKG). Es wurde gemäss Art. 322 Abs. 1 ZPO keine Vernehmlassung eingeholt und der Gegenpartei sind keine weiteren Umtriebe entstanden; es ist somit keine Entschädigung zuzusprechen. (Dispositiv auf nachfolgender Seite)</w:t>
      </w:r>
    </w:p>
    <w:p>
      <w:r>
        <w:t>Kantonsgericht KG Seite 4 von 4 Der Hof erkennt: I. Die Beschwerde wird abgewiesen. II. Die Prozesskosten des Beschwerdeverfahrens werden A.________ auferlegt. Die Gerichtskosten des Beschwerdeverfahrens werden auf CHF 150.- festgesetzt. Es wird keine Parteientschädigung ausgerichtet.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12. Dezember 2017/fju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