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289 vom 13. November 2017</w:t>
      </w:r>
    </w:p>
    <w:p>
      <w:r>
        <w:t>FR Kantonsgericht, 2017-11-13, FR</w:t>
      </w:r>
    </w:p>
    <w:p>
      <w:r>
        <w:rPr>
          <w:b/>
        </w:rPr>
        <w:t xml:space="preserve">Quelle: </w:t>
      </w:r>
      <w:r>
        <w:t>https://mcp.opencaselaw.ch/entscheid/fr_gerichte_102_2017_289</w:t>
      </w:r>
    </w:p>
    <w:p>
      <w:r>
        <w:t>FR: FR_GERICHTE 102 2017 289 du 13 novembre 2017</w:t>
      </w:r>
    </w:p>
    <w:p>
      <w:r>
        <w:t>IT: FR_GERICHTE 102 2017 289 del 13 novembre 2017</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 été notifiée à la recourante le 27 septembre 2017; interjeté le même jour, le recours l’a été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w:t>
      </w:r>
    </w:p>
    <w:p>
      <w:r>
        <w:t>Tribunal cantonal TC Page 3 de 4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Tribunal cantonal in RFJ 2001 p. 69).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w:t>
      </w:r>
    </w:p>
    <w:p>
      <w:r>
        <w:rPr>
          <w:b/>
        </w:rPr>
        <w:t>E. 2.2</w:t>
      </w:r>
    </w:p>
    <w:p>
      <w:r>
        <w:t>Le 27 septembre 2017, soit dans le délai de recours, la recourante s’est acquittée auprès de l’OP Gruyère, à l’intention de la créancière, de la totalité du montant à rembourser (CHF 1'559.05). La première condition cumulative de l'art. 174 al. 2 LP est ainsi réalisée.</w:t>
      </w:r>
    </w:p>
    <w:p>
      <w:r>
        <w:rPr>
          <w:b/>
        </w:rPr>
        <w:t>E. 2.3</w:t>
      </w:r>
    </w:p>
    <w:p>
      <w:r>
        <w:t>La recourante a également rendu vraisemblable sa solvabilité. En particulier, il ressort des pièces qu’elle a produites que, le 27 septembre 2017, elle s’est acquittée d’un montant de CHF 41'831.- correspondant aux 8 poursuites engagées contre elle, incluant celle introduite par l’intimée qui est à l’origine de la faillite, de sorte que la recourante n’a plus aucune poursuite pendante à son encontre (cf. bordereau, pièces 6, 7, 9). L’intimée a par ailleurs demandé la radiation des 3 poursuites qu’elle avait introduites contre la recourante (cf. bordereau, pièces 8, 10, 11). De plus, il ressort des comptes des exercices 2014 et 2015 ainsi que des relevés du compte courant de la recourante que depuis le mois de juillet 2017, divers montants comptabilisant CHF 270'000.- ont été crédités en sa faveur, qu’elle dispose de liquidités et que sa situation financière paraît équilibrée (cf. bordereau, pièces 12 à 15). A cela s’ajoute le fait que la recourante a adressé à plusieurs clients, durant le mois de septembre, des factures qui doivent encore être encaissées et qui comptabilisent un montant de près de CHF 90'000.- (cf. bordereau, pièces 16 à 21; bordereau complémentaire, pièces 1 à 6). Quant aux employés de la recourante, ils ont attesté ne pas subir de retard dans le paiement de leurs salaires. En revanche, les pièces produites en date du 12 octobre 2017, établissant que des montants supplémentaires ont été facturés entretemps, ne l'ont pas été dans le délai de recours et ne seront partant pas prises en considération. Au vu de ce qui précède, il y a lieu d’admettre que la recourante a rendu sa solvabilité vraisemblable, de sorte que la deuxième condition cumulative est satisfaite. Partant, le recours doit être admis et la faillite annulée.</w:t>
      </w:r>
    </w:p>
    <w:p>
      <w:r>
        <w:t>Tribunal cantonal TC Page 4 de 4</w:t>
      </w:r>
    </w:p>
    <w:p>
      <w:r>
        <w:rPr>
          <w:b/>
        </w:rPr>
        <w:t>E. 3.1</w:t>
      </w:r>
    </w:p>
    <w:p>
      <w:r>
        <w:t>Malgré l’admission du recours, les frais de la première et de la seconde instance sont mis à la charge de la société A.________ SA qui a provoqué la présente procédure en ne s’acquittant pas à temps du montant en poursuite. Pour l’instance de recours, ils sont fixés au montant forfaitaire de CHF 500.- (émolument global; art. 52 et 61 OELP) et seront prélevés sur l’avance de frais du même montant effectuée le 9 octobre 2017. Pour la première instance, le montant de CHF 100.-, non contesté, est confirmé.</w:t>
      </w:r>
    </w:p>
    <w:p>
      <w:r>
        <w:rPr>
          <w:b/>
        </w:rPr>
        <w:t>E. 3.2</w:t>
      </w:r>
    </w:p>
    <w:p>
      <w:r>
        <w:t>Il n’est pas alloué de dépens à la Commission qui ne s’est pas déterminée sur le recours. la Cour arrête: I. Le recours est admis. Partant, la décision de la Présidente du Tribunal civil de l'arrondissement de la Gruyère du 18 septembre 2017 prononçant la faillite de la société A.________ SA est annulée. II. Les frais de procédure des deux instances sont mis à la charge de la société A.________ SA. Pour la première instance, les frais judiciaires sont fixés à CHF 100.-. Ils ont déjà été remboursés à la Commission B.________ et seront prélevés sur l'avance qu’elle a effectuée. Le solde de l’avance de frais sera restitué à la Commission B.________. Pour la seconde instance, l'émolument global est fixé à CHF 500.-. Il sera prélevé sur l'avance effectuée par A.________ SA. Il n’est pas alloué de dépens à la Commission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novembre 2017/say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