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281 vom 7. Juni 2018</w:t>
      </w:r>
    </w:p>
    <w:p>
      <w:r>
        <w:t>FR Kantonsgericht, 2018-06-07, FR</w:t>
      </w:r>
    </w:p>
    <w:p>
      <w:r>
        <w:rPr>
          <w:b/>
        </w:rPr>
        <w:t xml:space="preserve">Quelle: </w:t>
      </w:r>
      <w:r>
        <w:t>https://mcp.opencaselaw.ch/entscheid/fr_gerichte_102_2017_281</w:t>
      </w:r>
    </w:p>
    <w:p>
      <w:r>
        <w:t>FR: FR_GERICHTE 102 2017 281 du 7 juin 2018</w:t>
      </w:r>
    </w:p>
    <w:p>
      <w:r>
        <w:t>IT: FR_GERICHTE 102 2017 281 del 7 giugno 2018</w:t>
      </w:r>
    </w:p>
    <w:p>
      <w:pPr>
        <w:pStyle w:val="Heading2"/>
      </w:pPr>
      <w:r>
        <w:t>Regeste</w:t>
      </w:r>
    </w:p>
    <w:p>
      <w:r>
        <w:t>Arrêt de la IIe Cour d'appel civil du Tribunal cantonal | Rechtsöffnung</w:t>
      </w:r>
    </w:p>
    <w:p>
      <w:pPr>
        <w:pStyle w:val="Heading2"/>
      </w:pPr>
      <w:r>
        <w:t>Erwägungen</w:t>
      </w:r>
    </w:p>
    <w:p>
      <w:r>
        <w:rPr>
          <w:b/>
        </w:rPr>
        <w:t>E. 1.1</w:t>
      </w:r>
    </w:p>
    <w:p>
      <w:r>
        <w:t>Seule la voie du recours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les recourants ont respecté.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5 Au vu de ce qui précède, l’extrait du Registre foncier de la Gruyère, de même que la décision du Président du Tribunal civil de la Gruyère du 11 mai 2017 avec ses annexes, produits par la première fois par les recourants, sont irrecevables et ne seront donc pas pris en compte.</w:t>
      </w:r>
    </w:p>
    <w:p>
      <w:r>
        <w:rPr>
          <w:b/>
        </w:rPr>
        <w:t>E. 1.3</w:t>
      </w:r>
    </w:p>
    <w:p>
      <w:r>
        <w:t>La valeur litigieuse est de CHF 2'562.-.</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l’acte de recours déposé par A.________ et B.________ ne contient aucune motivation idoine, dès lors qu’ils se bornent à faire valoir, pour la première fois, à ce stade de la procédure seulement et contrairement au prescrit de l’art. 326 al. 1 CPC, être les propriétaires de l’immeuble en question et avoir obtenu la mainlevée dans le cadre d’une autre procédure engagée à l’encontre de l’intimée. Ce faisant, les recourants ne critiquent aucunement les motifs pertinents de la Présidente, laquelle a retenu, d’une part, que le contrat de bail signé par l’intimée et J.________ SA ne permet pas d’établir l’identité du signataire et, d’autre part, que les pièces produites ne rendent pas vraisemblable l’identité du propriétaire ou des propriétaires de l’immeuble. Par voie de conséquence, à défaut de répondre aux exigences de motivation posées par l’art. 321 al. 1 CPC, le recours doit être déclaré irrecevable pour défaut de motivation.</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ou dans sa justification en fait.</w:t>
      </w:r>
    </w:p>
    <w:p>
      <w:r>
        <w:rPr>
          <w:b/>
        </w:rPr>
        <w:t>E. 3.1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et les arrêts cités). La procédure de mainlevée provisoire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w:t>
      </w:r>
    </w:p>
    <w:p>
      <w:r>
        <w:t>Tribunal cantonal TC Page 4 de 5 dans ce titre, l’identité entre le poursuivi et le débiteur désigné et l’identité entre la prétention déduite en poursuite et la dette reconnue (ATF 142 III 720 consid. 4.1 et les arrêts cités). L’identité du créancier doit être mentionnée de manière exacte au moment de l’établissement de la reconnaissance de dette. Un contrat conclu par un représentant dans lequel le représenté n’est pas nommément désigné ne permet pas l’octroi de la mainlevée contre ce dernier (ABBET/VEUILLET, La mainlevée de l’opposition, 2017, n. 74 p. 129).</w:t>
      </w:r>
    </w:p>
    <w:p>
      <w:r>
        <w:rPr>
          <w:b/>
        </w:rPr>
        <w:t>E. 3.2</w:t>
      </w:r>
    </w:p>
    <w:p>
      <w:r>
        <w:t>Le contrat de bail vaut en principe reconnaissance de dette dans la poursuite en recouvrement du loyer et des frais accessoires dûment convenus et chiffrés (ABBET/VEUILLET, n. 160 p. 155). La mainlevée provisoire ne peut en revanche être prononcée qu’au profit de la partie que le contrat de bail désigne comme bailleur, et non, par exemple, comme gérant (BRACONI, L’exécution forcée des créances pécuniaires et en prestations de sûretés en matière de bail, in 16ème Séminaire du droit du bail, 2010, n. 15 p. 131). La personne désignée comme bailleur dans le contrat de bail est le seul créancier légitimé, ce qui n’est pas le cas du propriétaire n’agissant pas en tant que tel (STÜCHELI, Die Rechtsöffnung, 2000, p. 363).</w:t>
      </w:r>
    </w:p>
    <w:p>
      <w:r>
        <w:rPr>
          <w:b/>
        </w:rPr>
        <w:t>E. 3.3</w:t>
      </w:r>
    </w:p>
    <w:p>
      <w:r>
        <w:t>En l’espèce, le contrat de bail à loyer du 14 septembre 2009 ne désigne aucune partie comme bailleur. La case concernant le propriétaire n’étant pas remplie - seul le gérant comme représentant de ce dernier y figure -, les pièces produites à l’appui de la requête de mainlevée ne permettent pas d’établir l’identité du propriétaire au moment de l’établissement du contrat. Ainsi, la Présidente était dans l’impossibilité de vérifier l’identité entre les poursuivants et le créancier qui n’est pas désigné dans le titre. Cette vérification doit se faire d’office et c’est à juste titre que la Présidente a rejeté la requête de mainlevée provisoire déposée par A.________ et B.________, étant précisé que, selon le principe «pas d’égalité dans l’illégalité», il n’y a pas lieu d’accorder la mainlevée au seul motif qu’elle l’aurait été dans un autre cas.</w:t>
      </w:r>
    </w:p>
    <w:p>
      <w:r>
        <w:rPr>
          <w:b/>
        </w:rPr>
        <w:t>E. 4.1</w:t>
      </w:r>
    </w:p>
    <w:p>
      <w:r>
        <w:t>Les frais de la procédure de recours sont mis à la charge des recourants, qui succombent (art. 106 al. 1 CPC). Ils sont fixés forfaitairement à CHF 200.- (art. 48 et 61 al. 1 OELP) et seront prélevés sur l’avance effectuée.</w:t>
      </w:r>
    </w:p>
    <w:p>
      <w:r>
        <w:rPr>
          <w:b/>
        </w:rPr>
        <w:t>E. 4.2</w:t>
      </w:r>
    </w:p>
    <w:p>
      <w:r>
        <w:t>Il n’est pas alloué de dépens à l’intimée qui ne s’est pas manifestée. (dispositif en page suivante)</w:t>
      </w:r>
    </w:p>
    <w:p>
      <w:r>
        <w:t>Tribunal cantonal TC Page 5 de 5 la Cour arrête: I. Le recours est irrecevable. II. Les frais de la procédure de recours sont mis solidairement à la charge de A.________ et B.________. Les frais judiciaires sont fixés forfaitairement à CHF 200.-. Ils seront prélevés sur l’avance de frais effectuée le 3 octobre 2017.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juin 2018/fju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