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187 vom 9. August 2017</w:t>
      </w:r>
    </w:p>
    <w:p>
      <w:r>
        <w:t>FR Kantonsgericht, 2017-08-09, DE</w:t>
      </w:r>
    </w:p>
    <w:p>
      <w:r>
        <w:rPr>
          <w:b/>
        </w:rPr>
        <w:t xml:space="preserve">Quelle: </w:t>
      </w:r>
      <w:r>
        <w:t>https://mcp.opencaselaw.ch/entscheid/fr_gerichte_102_2017_187</w:t>
      </w:r>
    </w:p>
    <w:p>
      <w:r>
        <w:t>FR: FR_GERICHTE 102 2017 187 du 9 août 2017</w:t>
      </w:r>
    </w:p>
    <w:p>
      <w:r>
        <w:t>IT: FR_GERICHTE 102 2017 187 del 9 agosto 2017</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au Tribunal cantonal est ouverte (art. 319 let. a CPC), l’appel n’étant pas recevable contre une décision de mainlevée (art. 309 let. b ch. 3 CPC). La procédure de mainlevée étant sommaire (art. 251 let. a CPC), le recours doit être déposé dans les dix jours à compter de la notification de la décision (art. 321 al. 2 CPC). b) En l’espèce, la décision querellée a été notifiée le 16 juin 2017 à la recourante. Interjeté le 22 juin 2017, le recours a été déposé en temps utile. c) En application de l’art. 327 al. 2 CPC, la Cour d’appel peut statuer sur pièces, sans tenir audience. d) La cognition de la Cour d’appel est pleine et entière en droit; s’agissant des faits, elle est limitée à leur constatation manifestement inexacte (art. 320 CPC). e) 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Tribunal cantonal TC Page 3 de 4 f) La valeur litigieuse, correspondant au montant de l’acte de défaut de bien du 6 juin 1995, est de CHF 9'525.80.</w:t>
      </w:r>
    </w:p>
    <w:p>
      <w:r>
        <w:rPr>
          <w:b/>
        </w:rPr>
        <w:t>E. 2</w:t>
      </w:r>
    </w:p>
    <w:p>
      <w:r>
        <w:t>a) Dans son recours, la Commune de A.________ reproche à l’autorité précédente une violation des art. 149a LP et 2 al. 5 des Dispositions finales de la modification du 16 décembre 1994, ainsi que de l’art. 135 ch. 2 CO. Elle considère que l’acte de défaut de biens du 6 juin 1995 a été délivré avant l’entrée en vigueur de l’art. 149a al. 1 LP. Par conséquent, elle est d’avis que la prescription a commencé à courir le 1er janvier 1997 et que par le dépôt de la réquisition de poursuite du 12 octobre 2016, la recourante a interrompu valablement la prescription. L’intimé, quant à lui, se réfère à ses objections formulées en première instance. De plus, il considère qu’il est impossible de connaître l’auteur et la provenance du présent recours à défaut d'en-tête à gauche. L’intimé relève également que la recourante déclare "agir par ses organes légaux étant D.________ SA", mais force serait de constater que ceux-ci n’ont pas signé le recours. De plus, il estime que la requête de mainlevée du 5 avril 2017, faite par D.________ SA, est totalement frauduleuse et s’apparente à un faux dans les titres. En effet, celle-ci comporte un logo D.________ et une signature et sceau de la Commune de A.________. b) En date du 1er janvier 1997, est entrée en vigueur la modification de l’art. 149a LP prévoyant désormais qu’une créance constatée par un acte de défaut de biens se prescrit par 20 ans à compter de la délivrance de l’acte de défaut de biens, alors qu'elle était auparavant imprescriptible. Aux termes de l’art. 2 al. 5 des Dispositions finales de la modification du 16 décembre 1994, la prescription des créances constatées par des actes de défaut de biens délivrés avant l’entrée en vigueur de la présente loi commence à courir dès l’entrée en vigueur de celle-ci. c) En l’espèce, c’est à tort que l’autorité précédente a admis l’exception de prescription soulevée par l’intimé quant à l’acte de défaut de biens du 6 juin 1995. En effet, la créance de CHF 9'525.80 a été constatée par un acte de défaut de biens délivré avant l’entrée en vigueur de la modification légale. Dès lors, il en résulte que le dies a quo du délai de prescription de 20 ans a débuté le 1er janvier 1997. En faisant notifier à l’intimé un commandement de payer le 20 octobre 2016, la recourante a procédé pendant le délai de prescription de 20 ans prévu à l’art. 149a al. 1 LP. Par ailleurs, comme l’a relevé à juste titre la recourante, le délai de prescription a été valablement interrompu par le dépôt de sa réquisition de poursuite, à une date non attestée mais antérieure au 18 octobre 2016, conformément à l’art. 135 ch. 2 CO. Il s'ensuit l'admission du recours. d) S'agissant des griefs formulés par l'intimé en rapport avec l'aspect formel de l'acte de recours, ceux-ci sont dénués de tout fondement. En effet, aucune disposition procédurale n'exige qu'un recours basé sur le CPC contienne un en-tête à gauche mentionnant le nom du recourant. De plus, en l'espèce, la Commune de A.________, agissant par ses organes légaux, apparaît clairement comme étant la recourante, le recours étant au surplus signé par le Syndic et par le Secrétaire communal à gauche et à droite du timbre humide officiel de la Commune. La mention "p.a" indique simplement un domicile de notification auprès de D.________ SA, à E.________ et ne pose pas problème. Il en va de même de la requête de mainlevée, laquelle ne soulevait pas de problème de représentation, celle-ci émanant de la Commune de A.________, créancière, avec signature de ses organes, D.________ SA étant l'adresse de notification uniquement.</w:t>
      </w:r>
    </w:p>
    <w:p>
      <w:r>
        <w:rPr>
          <w:b/>
        </w:rPr>
        <w:t>E. 3</w:t>
      </w:r>
    </w:p>
    <w:p>
      <w:r>
        <w:t>Les frais judiciaires, par CHF 200.-, sont mis à la charge de B.________. Ils seront prélevés sur l’avance de frais prestée par la Commune de A.________, qui a droit à son remboursement par B.________. II. Les frais de la procédure de recours sont mis à la charge de B.________. Les frais judiciaires, fixés forfaitairement à CHF 300.-, sont prélevés sur l’avance de frais effectuée par la Commune de A.________, qui a droit à son remboursement par B.________.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9 août 2017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