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102 2017 18 vom 4. April 2017</w:t>
      </w:r>
    </w:p>
    <w:p>
      <w:r>
        <w:t>FR Kantonsgericht, 2017-04-04, DE</w:t>
      </w:r>
    </w:p>
    <w:p>
      <w:r>
        <w:rPr>
          <w:b/>
        </w:rPr>
        <w:t xml:space="preserve">Quelle: </w:t>
      </w:r>
      <w:r>
        <w:t>https://mcp.opencaselaw.ch/entscheid/fr_gerichte_102_2017_18</w:t>
      </w:r>
    </w:p>
    <w:p>
      <w:r>
        <w:t>FR: FR_GERICHTE 102 2017 18 du 4 avril 2017</w:t>
      </w:r>
    </w:p>
    <w:p>
      <w:r>
        <w:t>IT: FR_GERICHTE 102 2017 18 del 4 aprile 2017</w:t>
      </w:r>
    </w:p>
    <w:p>
      <w:pPr>
        <w:pStyle w:val="Heading2"/>
      </w:pPr>
      <w:r>
        <w:t>Regeste</w:t>
      </w:r>
    </w:p>
    <w:p>
      <w:r>
        <w:t>Entscheid des I. Zivilappellationshofes des Kantonsgerichts | Rechtsöffnung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Mangels Berufungsfähigkeit unterliegt der angefochtene Rechtsöffnungsentscheid vom</w:t>
      </w:r>
    </w:p>
    <w:p>
      <w:r>
        <w:rPr>
          <w:b/>
        </w:rPr>
        <w:t>E. 3</w:t>
      </w:r>
    </w:p>
    <w:p>
      <w:r>
        <w:t>a) Die Prozesskosten werden der unterliegenden Partei auferlegt (Art. 106 Abs. 1 ZPO). Die Beschwerdeführerin ist mit ihren Anträgen nicht durchgedrungen und hat daher die Prozess- kosten zu tragen. b) Die Gerichtskosten sind in Berücksichtigung der in Betreibung gesetzten Summe auf pauschal CHF 450.- festzusetzen (Art. 48 und 61 Abs. 1 GebV SchKG). c) Es wird keine Parteientschädigung ausgerichtet. Eine solche wurde von der Beschwerde- gegnerin auch nicht verlangt. (Dispositiv auf der nächsten Seite)</w:t>
      </w:r>
    </w:p>
    <w:p>
      <w:r>
        <w:t>Kantonsgericht KG Seite 6 von 6 Der Hof erkennt: I. Die Beschwerde wird abgewiesen. Der Entscheid vom 3. Januar 2017 des Präsidenten des Zivilgerichts des Seebezirks wird bestätigt. II. Die Prozesskosten des Beschwerdeverfahrens werden der A.________ AG auferlegt. Die Gerichtskosten des Verfahrens werden pauschal auf CHF 450.- festgesetzt. Es wird keine Parteientschädigung ausgerichtet. III. Zustellung. Dieses Urteil kann innert 30 Tagen nach seiner Eröffnung mit Verfassungsbeschwerde beim Bun- desgericht angefochten werden. Das Beschwerderecht und die übrigen Zulässigkeitsvorausset- zungen sind in den Art. 113-119 und 90 ff. des Bundesgesetzes über das Bundesgericht vom 17. Juni 2005 (BGG) geregelt. Die begründete Beschwerdeschrift ist beim Bundesgericht, 1000 Lausanne 14, einzureichen. Freiburg, 4. April 2017/pra Präsident Gerichtsschreiberin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