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178 vom 25. Juli 2017</w:t>
      </w:r>
    </w:p>
    <w:p>
      <w:r>
        <w:t>FR Kantonsgericht, 2017-07-25, DE</w:t>
      </w:r>
    </w:p>
    <w:p>
      <w:r>
        <w:rPr>
          <w:b/>
        </w:rPr>
        <w:t xml:space="preserve">Quelle: </w:t>
      </w:r>
      <w:r>
        <w:t>https://mcp.opencaselaw.ch/entscheid/fr_gerichte_102_2017_178</w:t>
      </w:r>
    </w:p>
    <w:p>
      <w:r>
        <w:t>FR: FR_GERICHTE 102 2017 178 du 25 juillet 2017</w:t>
      </w:r>
    </w:p>
    <w:p>
      <w:r>
        <w:t>IT: FR_GERICHTE 102 2017 178 del 25 luglio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La procédure de mainlevée étant sommaire (art. 251 let. a CPC), le recours doit être déposé dans les dix jours à compter de la notification de la décision (art. 321 al. 2 CPC). b) En l’espèce, la décision querellée a été notifiée le 31 mai 2017 à la recourante. Interjeté le 7 juin 2017, le recours a manifestement été déposé en temps utile. c) En application de l’art. 327 al. 2 CPC, la Cour d’appel peut statuer sur pièces, sans tenir audience. d) La cognition de la Cour d’appel est pleine et entière en droit; s’agissant des faits, elle est limitée à leur constatation manifestement inexacte (art. 320 CPC). e)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Tribunal cantonal TC Page 3 de 4 En l’espèce, les explications fournies par la recourante, tendant à justifier les montants réclamés à l’intimé, produites pour la première fois à l’appui du recours, sont irrecevables et ne seront donc pas prises en compte. f) La valeur litigieuse est de CHF 19'062.35.</w:t>
      </w:r>
    </w:p>
    <w:p>
      <w:r>
        <w:rPr>
          <w:b/>
        </w:rPr>
        <w:t>E. 2</w:t>
      </w:r>
    </w:p>
    <w:p>
      <w:r>
        <w:t>a)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b) En l’espèce, la recourante réclame le paiement de trois montants en lien avec l’accord d’exploitation de jeux. Premièrement, la recourante réclame le paiement de CHF 1'237.15 correspondant à des frais de réparations. À l’appui de sa prétention, elle se fonde sur l’art. 3.d) de l’accord d’exploitation de jeux dans la mesure où l’intimé s’est engagé, par sa signature, à répondre de tout dommage causé à un automate et à payer à A.________ sa facture pour les réparations effectuées sur la base d’un rapport de dépannage, pour un montant de cinq mille francs par automate au maximum. Dans sa décision (consid. 5.c) p. 3), la Présidente a retenu que la possibilité pour la requérante de réclamer le paiement de factures relatives à des frais de réparation était soumise à la condition de l’existence de dégâts dont la responsabilité incombe à B.________, ce qui n’est pas établi en l’espèce. Néanmoins, à la lecture de l’art. 3.d) de l’accord d’exploitation de jeux, il y a lieu de rectifier ce passage de dite décision en ce sens que B.________ doit répondre de tout dommage causé à un automate, par lui-même, ou par un tiers, soit intentionnellement soit par négligence. Par conséquent, répondant de tout dommage causé par autrui, nul n’est besoin que la responsabilité de B.________ soit établie pour que la recourante puisse réclamer le paiement des frais de réparation. Toutefois, cette précision n’est d’aucun secours à la société recourante pour prétendre, dans la présente procédure, à la reconnaissance d’un titre de mainlevée valable. En effet, l’art. 3.d) dudit accord n’est pas assez précis et ne permet, en aucun cas, de retenir l’existence d’une reconnaissance de dette. En effet, au vu de la jurisprudence précitée, en fixant une fourchette allant de CHF 0.- à 5'000.-, la société recourant ne saurait prétendre que l’accord contient un montant déterminé ou déterminable. Par surabondance, les factures relatives aux frais de réparation n’ont pas été signées par l’intimé. Par conséquent, c’est à juste titre que la Présidente a nié l’existence d’un titre de mainlevée sur le montant de CHF 1'237.15. Tribunal cantonal TC Page 4 de 4 Deuxièmement, la recourante revendique le versement de la somme de CHF 14'460.- en invoquant l’art. 6.b) dudit accord. Comme l’a relevé à juste titre la Présidente, cette disposition ne prévoit le paiement d’aucun montant déterminé, mais uniquement le droit de demander des dommages-intérêts d’un montant égal aux recettes présumées. Or, il est constaté que de telles recettes ne sauraient être déterminables en l’espèce. Quand bien même la société recourante aurait apporté la preuve d’une violation de l’accord d’exploitation par l’intimé, il n’en demeure pas moins qu’elle ne dispose d’aucun titre de mainlevée provisoire correspondant au montant de CHF 14'460.-. Troisièmement, un montant de CHF 1'806.70, correspondant aux frais d’encaissement selon l’art. 106 CO, est réclamé par la société recourante. Cependant, force est de constater que le dossier ne contient pas le moindre titre de mainlevée correspondant à la somme revendiquée. La Cour fait sienne la motivation de la Présidente qui ne prête pas le flanc à la critique. Partant, infondé, le recours doit être rejeté.</w:t>
      </w:r>
    </w:p>
    <w:p>
      <w:r>
        <w:rPr>
          <w:b/>
        </w:rPr>
        <w:t>E. 3</w:t>
      </w:r>
    </w:p>
    <w:p>
      <w:r>
        <w:t>a) Les frais de procédure de recours doivent être mis à la charge de la recourante, qui succombe (art. 106 al. 1 CPC). Ils comprennent les frais judiciaires, fixés forfaitairement à CHF 400.- (art. 48 et 61 al. 1 OELP) qui seront prélevés sur l’avance de frais effectuée le 21 juin 2017 par A.________. b) Les dépens de l’intimé sont fixés globalement à CHF 200.-, débours compris mais TVA en sus par CHF 16.- (art. 64 al. 1 let. e et 63 RJ) pour la procédure de recours. la Cour arrête: I. Le recours du 7 juin 2017 contre la décision de la Présidente du Tribunal civil de l’arrondissement de la Broye du 30 mai 2017 est rejeté. II. Les frais de la procédure de recours sont mis à la charge de A.________. Les frais judiciaires sont fixés à CHF 400.- Les dépens de B.________ sont fixés à 200.-, débours compris, mais TVA en sus par CHF 16.-.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juillet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