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147 vom 27. Juni 2017</w:t>
      </w:r>
    </w:p>
    <w:p>
      <w:r>
        <w:t>FR Kantonsgericht, 2017-06-27, FR</w:t>
      </w:r>
    </w:p>
    <w:p>
      <w:r>
        <w:rPr>
          <w:b/>
        </w:rPr>
        <w:t xml:space="preserve">Quelle: </w:t>
      </w:r>
      <w:r>
        <w:t>https://mcp.opencaselaw.ch/entscheid/fr_gerichte_102_2017_147</w:t>
      </w:r>
    </w:p>
    <w:p>
      <w:r>
        <w:t>FR: FR_GERICHTE 102 2017 147 du 27 juin 2017</w:t>
      </w:r>
    </w:p>
    <w:p>
      <w:r>
        <w:t>IT: FR_GERICHTE 102 2017 147 del 27 giugno 2017</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F +41 26 304 15 01 www.fr.ch/tc — Pouvoir Judiciaire PJ Gerichtsbehörden GB 102 2017 147 Arrêt du 27 juin 2017 IIe Cour d’appel civil Composition Président: Adrian Urwyler Juges: Michel Favre, Dina Beti Greffière: Silvia Aguirre Parties A.________, défendeur et recourant contre B.________ SA, demanderesse et intimée Objet Annulation de la faillite (art. 174 LP) Recours du 15 mai 2017 contre la décision du Président du Tribunal civil de l'arrondissement de la Glâne du 26 avril 2017</w:t>
      </w:r>
    </w:p>
    <w:p>
      <w:r>
        <w:t>Tribunal cantonal TC Page 2 de 3 attendu que, le 10 mai 2017, A.________ a interjeté recours contre la décision du 26 avril 2017 du Président du Tribunal civil de la Glâne prononçant sa faillite; qu'à l'appui de son recours, il établit avoir déposé la totalité du montant en poursuite, ainsi que celui d'une autre poursuite, auprès du Tribunal cantonal à l'intention de la créancière, et qu'il allègue que sa jeune entreprise a réalisé un chiffre d'affaires de CHF 61'160.- sur sept mois d'activité et qu'il n'a pas d'actes de défaut de biens ni d'autres poursuites; qu’aux termes de l'art. 174 al. 2 LP, l'autorité de recours peut annuler l'ouverture de la faillite lorsque le débiteur rend vraisemblable sa solvabilité et qu'il établit par titre, notamment, que la totalité du montant à rembourser a été déposée auprès de l'autorité judiciaire supérieure à l'intention du créancier;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LP; qu'en l'espèce, le recourant a établi avoir déposé auprès de l'autorité judiciaire supérieure la totalité des montants pour lesquels il est poursuivi; qu'il ressort en outre de l'extrait du registre des poursuites du 12 mai 2017 qu'il a produit qu'il n'a fait l'objet que de trois poursuites, dont une a déjà été acquittée, que le montant des deux autres a été consigné auprès de l'autorité judiciaire supérieure, et qu'aucun acte de défaut de biens n'est enregistré à son encontre; qu'il y a lieu d'admettre que le recourant a de la sorte rendu vraisemblable sa solvabilité, à tout le moins à court terme, de sorte que le recours doit être admis et la faillite annulée; que le montant consigné au greffe du Tribunal cantonal le 12 mai 2017, par CHF 4'500.-, sera transmis sans délai à l’Office des poursuites de la Glâne, afin qu'il l'affecte au remboursement des poursuites n°s 679592 et 680680; que, malgré l’admission du recours, les frais de la première et de la seconde instance sont mis à la charge de A.________ qui a provoqué la présente procédure en ne s’acquittant pas à temps du montant en poursuite; que, pour l’instance de recours, ils sont fixés au montant forfaitaire de CHF 500.- (émolument global; art. 52 et 61 OELP) et seront prélevés sur l’avance de frais du même montant effectuée par le recourant;</w:t>
      </w:r>
    </w:p>
    <w:p>
      <w:r>
        <w:t>Tribunal cantonal TC Page 3 de 3 qu’il n’est pas alloué de dépens à l'intimée, qui n'a pas été invitée à se déterminer dès lors que, ses créances étant acquittées intégralement, elle n'a plus d'intérêt à la faillite du recourant; la Cour arrête: I. Le recours est admis. Partant, la décision du Président du Tribunal civil de l'arrondissement de la Glâne du 26 avril 2017 prononçant la faillite de A.________ est annulée. II. Le montant consigné au greffe du Tribunal cantonal le 12 mai 2017, par CHF 4'500.-, est transmis sans délai à l’Office des poursuites de la Glâne, afin qu'il l'affecte au remboursement des poursuites n°s 679592 et 680680. III. Les frais judiciaires des deux instances sont mis à la charge de A.________. L'émolument global s'élève à CHF 150.- pour la première instance; il sera prélevé sur l'avance effectuée par B.________ SA, qui a droit à son remboursement par A.________. Le solde de l’avance de frais sera restitué à B.________ SA. L’émolument global est fixé à CHF 500.- pour la seconde instance; il sera prélevé sur l’avance effectuée par A.________. Il n’est pas alloué de dépens à B.________ SA.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juin 2017/dbe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