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140 vom 12. Juni 2017</w:t>
      </w:r>
    </w:p>
    <w:p>
      <w:r>
        <w:t>FR Kantonsgericht, 2017-06-12, FR</w:t>
      </w:r>
    </w:p>
    <w:p>
      <w:r>
        <w:rPr>
          <w:b/>
        </w:rPr>
        <w:t xml:space="preserve">Quelle: </w:t>
      </w:r>
      <w:r>
        <w:t>https://mcp.opencaselaw.ch/entscheid/fr_gerichte_102_2017_140</w:t>
      </w:r>
    </w:p>
    <w:p>
      <w:r>
        <w:t>FR: FR_GERICHTE 102 2017 140 du 12 juin 2017</w:t>
      </w:r>
    </w:p>
    <w:p>
      <w:r>
        <w:t>IT: FR_GERICHTE 102 2017 140 del 12 giugno 2017</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Code de procédure civile. La décision attaquée a été notifiée à la recourante le 1er mai 2017; déposé le 10 mai 2017, le recours a été interjeté en temps utile.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a) 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w:t>
      </w:r>
    </w:p>
    <w:p>
      <w:r>
        <w:t>Tribunal cantonal TC Page 3 de 4 etc. (arrêt TF 5P.399/1999 du 14 janvier 2000 consid. 2b et les références; cf. aussi Tribunal cantonal in RFJ 2001 p.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 b) Lors du dépôt de son recours, A.________ Sàrl en liquidation a allégué et prouvé par pièce qu’elle avait versé au Tribunal civil de l’arrondissement de la Broye la somme de CHF 1'780.30 couvrant la dette, les intérêts et les frais, de telle sorte que la première condition cumulative exigée par l'art. 174 al. 2 LP est réalisée. c) Le failli doit toutefois également rendre vraisemblable sa solvabilité. La Cour constate toutefois que les allégués et les pièces produites les 17 mai et 1er juin 2017 l'ont été après l'expiration du délai de recours et sont dès lors irrecevables. Partant, il ne peut pas être tenu compte du fait que les dettes de A.________ Sàrl en liquidation seraient couvertes par un immeuble sis en France valant CHF 680'000.- qui sera ultérieurement mis en vente afin de stabiliser la société, ni du bilan provisoire et de la balance au 31 décembre 2016 ainsi que de l’attestation du notaire prouvant que l’immeuble précité appartient à la recourante et qu’il n’est grevé d’aucune hypothèque. Il en découle que seul le courrier du 10 mai 2017, déposé dans le délai de recours, peut être pris en compte. Force est toutefois de constater que la recourante ne donne dans cet acte aucune information sur sa solvabilité et n’apporte aucune pièce de nature à la rendre vraisemblable. Partant, la deuxième condition de l’art. 174 al. 2 LP n’est pas réalisée, ce qui entraîne le rejet du recours. d) Même si les courriers des 17 mai et 1er juin 2017 avaient été déposés dans le délai de recours et qu’ils devraient être pris en compte dans l’examen de la situation, les allégués et les pièces qu’ils contiennent ne seraient d’aucun secours à la recourante. En effet, pour établir qu’elle n’est pas insolvable, il lui appartenait en particulier de produire une attestation de l’office des poursuites afin d’établir l'absence d'actes de défaut de biens et qu'aucune requête de faillite dans une poursuite ordinaire ou dans une poursuite pour effets de change n'est pendante contre elle, ce qu’elle n’a pas fait. De plus, le bilan et les comptes d’exploitation produits par la recourante sont arrêtés au 31 décembre 2016, de sorte qu’ils ne reflètent pas la situation actuelle de la société au niveau des liquidités. Au demeurant, il ressort de ces comptes que la société recourante</w:t>
      </w:r>
    </w:p>
    <w:p>
      <w:r>
        <w:t>Tribunal cantonal TC Page 4 de 4 comptabilise des dettes à court terme importantes puisqu’elles se montent à CHF 1'239'068.- alors que ses actifs circulants se chiffrent à CHF 709'825.-. Quant à l’immeuble valant CHF 680'000.- détenue par la recourante qui figure dans ses actifs immobilisés, rien ne prouve que lors de son éventuelle mise en vente, un acquéreur sera trouvé rapidement.</w:t>
      </w:r>
    </w:p>
    <w:p>
      <w:r>
        <w:rPr>
          <w:b/>
        </w:rPr>
        <w:t>E. 3</w:t>
      </w:r>
    </w:p>
    <w:p>
      <w:r>
        <w:t>Compte tenu du rejet du recours et de la confirmation de la décision attaquée, le montant de CHF 1'780.30 versé par A.________ Sàrl en liquidation sur le compte du Tribunal civil de l’arrondissement de la Broye doit être transféré à l'Office cantonal des faillites. Partant, ordre est donné au Tribunal civil de l’arrondissement de la Broye de transférer ce montant à l’Office cantonal des faillites.</w:t>
      </w:r>
    </w:p>
    <w:p>
      <w:r>
        <w:rPr>
          <w:b/>
        </w:rPr>
        <w:t>E. 4</w:t>
      </w:r>
    </w:p>
    <w:p>
      <w:r>
        <w:t>a) Les frais de la procédure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 Ils seront prélevés sur l’avance effectuée. b) Il n’est pas alloué de dépens à l’intimée qui n’en a pas sollicités. la Cour arrête: I. Le recours est rejeté. II. Ordre est donné au Tribunal civil de l’arrondissement de la Broye de transférer le montant de CHF 1'780.30 à l’Office cantonal des faillites. III. Les frais de la procédure de recours sont mis à la charge de A.________ Sàrl en liquidation. Les frais judiciaires dus à l’Etat sont fixés à CHF 500.- (émolument forfaitaire). Ils seront prélevés sur l’avance de frais effectuée.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RS 173.110). L'acte de recours motivé doit être adressé au Tribunal fédéral, 1000 Lausanne 14. Fribourg, le 12 juin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