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126 vom 11. Dezember 2017</w:t>
      </w:r>
    </w:p>
    <w:p>
      <w:r>
        <w:t>FR Kantonsgericht, 2017-12-11, FR</w:t>
      </w:r>
    </w:p>
    <w:p>
      <w:r>
        <w:rPr>
          <w:b/>
        </w:rPr>
        <w:t xml:space="preserve">Quelle: </w:t>
      </w:r>
      <w:r>
        <w:t>https://mcp.opencaselaw.ch/entscheid/fr_gerichte_102_2017_126</w:t>
      </w:r>
    </w:p>
    <w:p>
      <w:r>
        <w:t>FR: FR_GERICHTE 102 2017 126 du 11 décembre 2017</w:t>
      </w:r>
    </w:p>
    <w:p>
      <w:r>
        <w:t>IT: FR_GERICHTE 102 2017 126 del 11 dicembre 2017</w:t>
      </w:r>
    </w:p>
    <w:p>
      <w:pPr>
        <w:pStyle w:val="Heading2"/>
      </w:pPr>
      <w:r>
        <w:t>Regeste</w:t>
      </w:r>
    </w:p>
    <w:p>
      <w:r>
        <w:t>Arrêt de la IIe Cour d'appel civil du Tribunal cantonal | Rechtsöffnung</w:t>
      </w:r>
    </w:p>
    <w:p>
      <w:pPr>
        <w:pStyle w:val="Heading2"/>
      </w:pPr>
      <w:r>
        <w:t>Erwägungen</w:t>
      </w:r>
    </w:p>
    <w:p>
      <w:r>
        <w:rPr>
          <w:b/>
        </w:rPr>
        <w:t>E. 12</w:t>
      </w:r>
    </w:p>
    <w:p>
      <w:r>
        <w:t>avril 2017. Par courrier du 28 avril 2017, le Président a transmis à la Cour une nouvelle décision de rectification au motif que plusieurs erreurs de plume s’étaient glissées dans le prononcé précédent. E. Le 18 mai 2017, l'intimée s'est déterminée sur le recours et a conclu à son rejet, ainsi qu’à l’octroi d’une indemnité pour la procédure de recours. en droit 1. 1.1 Seule la voie du recours (art. 319 ss CPC) au Tribunal cantonal est ouverte (art. 319 let. a CPC), l’appel n'étant pas recevable contre une décision de mainlevée (art. 309 let. b ch. 3 CPC); le délai pour faire recours est de 10 jours à compter de la notification de la décision (art. 321 al. 2 CPC), la procédure de mainlevée étant sommaire (art. 251 let. a CPC). En l'espèce, la décision du 6 avril 2017 a été notifiée à A.________ AG le 12 avril 2017. Remis à la poste le 19 avril 2017, le recours a par conséquent été déposé en temps utile. 1.2 La cognition de la Cour est pleine et entière en droit. Elle est en revanche limitée, s’agissant des faits, à leur constatation manifestement inexacte (art. 320 CPC).</w:t>
      </w:r>
    </w:p>
    <w:p>
      <w:r>
        <w:t>Tribunal cantonal TC Page 3 de 5 1.3 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Au vu de ce qui précède, le jugement du 3 janvier 2017 du Tribunal de district de Muri, de même que l’avis de rejet de réquisition et l’avis de retrait de réquisition produits pour la première fois à l’appui du recours par la recourante sont irrecevables et ne seront donc pas pris en compte. 1.4 La valeur litigieuse est de CHF 5'261.75 2. 2. Sans critiquer l’argumentation du premier juge, qui a prononcé l’irrecevabilité de la requête de mainlevée au motif qu’une seconde poursuite pour la même créance était inadmissible lorsque comme en l’espèce le créancier avait déjà introduit une première poursuite et requis sa continuation, ou qu’il était en droit de le faire, la recourante allègue que seule une poursuite perdure. A.________ AG expose ainsi, pour la première fois devant la Cour d’appel, que dans la mesure où, suite au jugement du 27 septembre 2016, la continuation de la poursuite lui avait été déniée pour non respect des délais, elle s’est vue contrainte d’introduire une nouvelle poursuite contre l’intimée. En marge de l’exposé des faits qui ont motivé l’introduction d’une nouvelle poursuite, A.________ AG produit à l’appui de son recours la preuve que la première poursuite était périmée, et désormais retirée, de sorte que seule la poursuite litigieuse demeure. Comme cela a été rappelé ci-dessus (consid. 1.3), la Cour contrôle la conformité au droit de la décision attaquée dans les mêmes conditions que celles dans lesquelles se trouvait l’autorité de première instance, de sorte que les nouvelles allégations de la recourante ainsi que les moyens de preuve nouvellement produits sont tardifs et partant irrecevables. 3. Bien que les nouveaux moyens de la recourante soient irrecevables, il incombe à la Cour d’appliquer le droit d’office et de ne pas se limiter à l’argumentation des parties (art. 57 CPC). Ainsi, quand bien même la recourante ne s’est pas plainte d’une violation de son droit d’être entendue, la Cour constate que de nombreuses irrégularités sont survenues dans la procédure de première instance. 3.1 Conformément aux art. 29 al. 2 Cst. et 6 CEDH,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w:t>
      </w:r>
    </w:p>
    <w:p>
      <w:r>
        <w:t>Tribunal cantonal TC Page 4 de 5 versée au dossier doit dès lors être communiquée aux parties pour leur permettre de décider si elles veulent ou non faire usage de leur faculté de se déterminer (cf. ATF 139 I 189 consid. 3.2). 3.2 En l’espèce, non seulement le Président a rectifié sa décision à deux reprises alors que la procédure de recours était déjà pendante, mais ce dernier a modifié significativement le dispositif de la décision querellée, sans requérir la détermination des parties, faisant ainsi fi du droit d’être entendu prescrit à l’art. 334 al. 2 CPC. En outre, sans compter qu’une nouvelle décision a été prononcée le 13 avril 2017 en violation de l’article précité, le droit d’être entendu de la recourante a d’ores et déjà été violé durant la procédure de mainlevée. Le Président a en effet fondé sa décision, puis sa rectification, sur les déterminations des 9 et 27 mars 2017 de l'intimée, sans les avoir préalablement communiquées à la recourante pour que cette dernière puisse à tout le moins se déterminer spontanément. A.________ AG n’a en effet pas reçu copie du courrier de B.________ SA du 9 mars 2017, étant entendu qu’une note manuscrite indique contre toute attente que le courrier a précisément été transmis à l’intimée (cf. DO 14), et la Cour ignore si le mémoire accompagnant le bordereau du 27 mars 2017, qui ne figure au demeurant même pas au dossier, a été communiqué à A.________ AG. Ainsi, étant entendu que rien ne prouve que la recourante a eu connaissance des observations de l’intimée avant le prononcé de la décision querellée, on ne saurait retenir que la recourante a valablement pu s’exprimer et encore moins lui reprocher de ne pas avoir exposé devant le premier juge les raisons qui motivaient l’introduction d’une nouvelle poursuite. Enfin, même dans l’hypothèse où le représentant de l’intimée aurait de son propre chef adressé directement une copie de ses courriers à A.________ AG, cette courtoisie ne saurait guérir la violation du droit d’être entendu de la recourante dans la mesure où seule une transmission par le juge, qui conduit la procédure, garantit un droit de réplique effectif (cf. arrêt TF 4A_660/2012 du 18 avril 2013 consid. 2.2). Partant, la Cour ne disposant que d’un pouvoir de cognition limité et n’étant pas en mesure de réparer le vice (cf. ATF 137 I 195 consid. 2.3.1 et 2.3.2), ceci d’autant plus qu’une partie des documents ne figure pas au dossier, il y a lieu de constater que le droit d’être entendu de la recourante au sens de l’art. 29 al. 2 Cst. a été violé et annuler aussi bien la décision querellée que la rectification du 13 avril 2017, indépendamment des chances de succès du recours sur le fond (cf. ATF 137 I 195 consid. 2.3.2). Il s’ensuit l’admission du recours et le renvoi de la cause au premier juge pour nouvelle décision, celui-ci étant invité à transmettre au préalable les déterminations de l’intimée à la recourante afin qu'elle puisse formuler ses observations. 4. Vu le sort du recours, les frais sont laissés à la charge de l’Etat (art. 107 al. 2 CPC). a) Ils comprennent les frais judiciaires, fixés globalement à CHF 200.-. b) Il n’y a pas lieu d’allouer de dépens à la recourante qui n’est pas assistée par un avocat. (dispositif en page suivante)</w:t>
      </w:r>
    </w:p>
    <w:p>
      <w:r>
        <w:t>Tribunal cantonal TC Page 5 de 5 la Cour arrête: I. Le recours est admis. Partant, les décisions du Président du Tribunal civil de l’arrondissement de la Gruyère des 6 février 2017 et 13 avril 2017 sont annulées, et la cause lui est renvoyée pour nouvelle décision. II. Les frais de la procédure de recours sont laissés à la charge de l’Etat. Les frais judiciaires sont fixés à CHF 200.-. L’avance de frais, par CHF 200.-, est restituée à la recourante. Il n’y a pas lieu d’allouer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11 décembre 2017/sag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