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98 vom 30. September 2016</w:t>
      </w:r>
    </w:p>
    <w:p>
      <w:r>
        <w:t>FR Kantonsgericht, 2016-09-30, DE</w:t>
      </w:r>
    </w:p>
    <w:p>
      <w:r>
        <w:rPr>
          <w:b/>
        </w:rPr>
        <w:t xml:space="preserve">Quelle: </w:t>
      </w:r>
      <w:r>
        <w:t>https://mcp.opencaselaw.ch/entscheid/fr_gerichte_102_2016_98</w:t>
      </w:r>
    </w:p>
    <w:p>
      <w:r>
        <w:t>FR: FR_GERICHTE 102 2016 98 du 30 septembre 2016</w:t>
      </w:r>
    </w:p>
    <w:p>
      <w:r>
        <w:t>IT: FR_GERICHTE 102 2016 98 del 30 settembre 2016</w:t>
      </w:r>
    </w:p>
    <w:p>
      <w:pPr>
        <w:pStyle w:val="Heading2"/>
      </w:pPr>
      <w:r>
        <w:t>Regeste</w:t>
      </w:r>
    </w:p>
    <w:p>
      <w:r>
        <w:t>Entscheid des II. Zivilappellationshofs des Kantonsgerichts</w:t>
      </w:r>
    </w:p>
    <w:p>
      <w:pPr>
        <w:pStyle w:val="Heading2"/>
      </w:pPr>
      <w:r>
        <w:t>Erwägungen</w:t>
      </w:r>
    </w:p>
    <w:p>
      <w:r>
        <w:rPr>
          <w:b/>
        </w:rPr>
        <w:t>E. 1</w:t>
      </w:r>
    </w:p>
    <w:p>
      <w:r>
        <w:t>a) Die Behörde, an welche das Bundesgericht eine Angelegenheit zurückweist, ist an die rechtlichen Erwägungen im Rückweisungsentscheid gebunden. Dabei betrifft die Verbindlichkeit sowohl Punkte, bezüglich deren keine Rückweisung erfolgte, die also „definitiv“ entschieden wurden, wie auch diejenigen Erwägungen, welche den Rückweisungsauftrag umschreiben (vgl. dazu MEYER/DORMANN in Basler Kommentar zum Bundesgerichtsgesetz, 2. Aufl. 2011, Art. 107 N. 18 mit weiteren Hinweisen, sowie BGE 135 III 334, E. 2 f.). Das Bundesgericht hat in E. 3.4. festgehalten: „Soweit es um die Mietzinserhöhung wegen wertvermehrenden Investitionen geht, ist somit die auf dem Formular gegebene Begründung entgegen der Vorinstanz in formeller Hinsicht nicht zu beanstanden, ohne dass noch auf die Eventualbegründungen der Klägerin eingegangen werden muss. Die Vorinstanz liess hingegen offen, ob die geltend gemachte Erhöhung materiell ausgewiesen ist. Mangels Feststellungen im angefochtenen Entscheid kann das Bundesgericht diese Frage nicht beantworten. Die Sache ist daher zu neuer Entscheidung an die Vorinstanz zurückzuweisen.“ In den übrigen Punkten [Veränderungen des Hypothekarzinssatzes (- 5,66 %), Teuerung (+ 2,42 %) sowie allgemeiner Kostensteigerung (+ 4,46 %)] wurde die Beschwerde abgewiesen (E. 4), so dass diesbezüglich die Sachlage geklärt ist. b) aa) Mit Berufung kann die unrichtige Rechtsanwendung und die unrichtige Feststellung des Sachverhalts geltend gemacht werden (Art. 310 ZPO). Die Berufung ist dem Zivilappellationshof schriftlich und begründet einzureichen (Art. 311 ZPO). Dabei ist im Einzelnen darzulegen, aus welchen Gründen der angefochtene Entscheid falsch ist und deshalb abgeändert werden muss. Die Rechtsmittelinstanz hat den angefochtenen Entscheid im Umfang der Anträge (Art. 315 Abs. 1 ZPO) im Rahmen der vorgetragenen Berufungsgründe mit voller Kognition komplett neu zu beurteilen.</w:t>
      </w:r>
    </w:p>
    <w:p>
      <w:r>
        <w:t>Kantonsgericht KG Seite 4 von 5 bb) Der Streitwert im Berufungsverfahren stützt sich auf die geforderte Mietzinserhöhung gestützt auf die geltend gemachten wertvermehrenden Investitionen im Betrag von monatlich CHF 454.- und beträgt daher CHF 108‘960.- (Art. 92 ZPO, Art. 41 Abs. 4 BGG). c) Die Rechtsmittelinstanz kann den angefochtenen Entscheid bestätigen, neu entscheiden oder, wenn ein wesentlicher Teil der Klage nicht beurteilt wurde oder der Sachverhalt in wesentlichen Teilen zu vervollständigen ist, die Sache an die erste Instanz zurückweisen (Art. 318 Abs. 1 ZPO). Die materielle Berechtigung der geltend gemachten Mietzinserhöhung wurde von der Berufungsklägerin behauptet (act. 1, Klage vom 15. Februar 2012 S. 9 ff.) und von den Berufungsbeklagten bestritten (act. 10, Klageantwort vom 8. Mai 2012 S. 7 ff.). Die Frage, ob die Erhöhung materiell ausgewiesen ist, wurde vom Mietgericht nicht geprüft, denn es beschränkte das Verfahren auf die Frage der Gültigkeit der Mietzinserhöhung (act. 28/2 f.) und behandelte einzig die formellen Aspekte der Ankündigung der Mietzinserhöhung (Urteil Mietgericht Sense- und Seebezirk 25 2012 2 vom 24. November 2014 E. 3). Damit ist die Angelegenheit in diesem Punkt nicht spruchreif und es gilt, das Beweisverfahren auch in Bezug auf die materiellen Fragen zu führen. Dem Antrag der Berufungsklägerin, die Angelegenheit an das Mietgericht des Sense- und Seebezirks zurückzuweisen ist stattzugeben; würde anders entschieden, könnten die Parteien die Sachverhaltsfeststellungen nicht vor einer Rechtmittelinstanz mit voller Kognition überprüfen lassen. Die Sache ist daher zu neuer Entscheidung an die Vorinstanz zurückzuweisen.</w:t>
      </w:r>
    </w:p>
    <w:p>
      <w:r>
        <w:rPr>
          <w:b/>
        </w:rPr>
        <w:t>E. 2</w:t>
      </w:r>
    </w:p>
    <w:p>
      <w:r>
        <w:t>a) Bei diesem Ausgang sind die Prozesskosten des Berufungsverfahrens 102 2015 56 den Berufungsbeklagten aufzuerlegen (Art. 106 ZPO). aa) Gerichtskosten sind im Berufungsverfahren keine zu erheben (Art. 116 Abs. 1 ZPO, Art. 30 Abs. 1 JG). bb) Für Streitigkeiten, die im vereinfachten Verfahren behandelt werden, deren Streitwert aber CHF 30‘000.- übersteigt, werden die Parteikosten aufgrund einer detaillierten Kostenliste bestimmt (Art. 64 f. des Justizreglements vom 30. November 2010 [JR; SGF 130.11]). Die Behörde berücksichtigt bei detaillierter Festsetzung der als Parteikosten geschuldeten Anwaltshonorare insbesondere die unter gewöhnlichen Umständen zur Führung des Prozesses notwendige Zeit und die auf dem Spiel stehenden Interessen (Art. 63 Abs. 3 JR). Die als Parteikosten geschuldeten Honorare werden i.d.R. aufgrund eines Stundentarifs festgesetzt (Art. 65 JR). Dieser beträgt seit dem 1. Juli 2015 CHF 250.- (Verordnung vom 22. Juni 2015 zur Änderung des Justizreglements und anderer Reglemente [ASF 2015_057]); bis zu diesem Zeitpunkt betrug der Stundentarif CHF 230.-. In vermögensrechtlichen Streitigkeiten werden die Honorare gestützt auf den Streitwert um höchstens 350 % erhöht (Art. 66 Abs. 2 und Anhang 2 JR). Korrespondenz und Telefongespräche, die zur Führung des Prozesses notwendig waren und den Rahmen einer einfachen Aktenverwaltung nicht überschreiten, insbesondere Übermittlungsschreiben, Gesuche um Fristerstreckung oder um Verschiebung einer Verhandlung, geben einzig Anspruch auf ein Pauschalhonorar von höchstens CHF 500.- bzw. ausnahmsweise CHF 700.- (Art. 67 JR). Die Kosten für Kopien, Portos und Telefonate werden pauschal auf 5 % der Grundentschädigung ohne Zuschlag festgesetzt (Art. 68 Abs. 2 JR). cc) Rechtsanwalt Marcel Grass veranschlagt für das Verfahren vor Kantonsgericht einen Zeitaufwand von 8 ½ Stunden (102 2015 56, act. 8). Gestützt auf die Akten erscheint dieser Aufwand (Lektüre Urteil, Ausarbeitung Berufungsschrift, Kenntnisnahme Berufungsantwort) angemessen. Dies wird auch von der Gegenpartei so beurteilt (a.a.O., act. 11). Die Grundentschädigung beträgt somit CHF 1‘955.- (8 ½ Stunden x CHF 230.-). Angesichts des</w:t>
      </w:r>
    </w:p>
    <w:p>
      <w:r>
        <w:t>Kantonsgericht KG Seite 5 von 5 Streitwerts von CHF 108‘960.- rechtfertigt sich eine Erhöhung des Honorars um 38.76 %, ausmachend CHF 757.75. Die Auslagen (Kopien, Portos, Telefongebühren etc.) werden mit einer Pauschale von 5 % der Grundentschädigung ohne Zuschlag abgegolten, ausmachend CHF 97.75. Für Korrespondenz und Telefongespräche wird kein zusätzliches Pauschalhonorar ausgeschieden. Insgesamt ergibt dies unter Berücksichtigung der Mehrwertsteuer von 8 % eine Parteientschädigung von CHF 3‘035.35 (Grundentschädigung: CHF 1‘995.-; Streitwertzuschlag: CHF 757.75; Auslagen: CHF 97.75; MwSt.: CHF 224.85). Die als Parteikosten geschuldeten Anwaltskosten für das zweitinstanzliche Verfahren 102 2015 56 werden somit auf CHF 3‘035.35 (Grundentschädigung: CHF 1‘995.-; Streitwertzuschlag: CHF 757.75; Auslagen: CHF 97.75; MwSt.: CHF 224.85) festgesetzt. b) Für das Neubeurteilungsverfahren 102 2016 98 werden keine Gerichtskosten erhoben und die Parteikosten werden wettgeschlagen. Der Hof erkennt: I. Der Entscheid vom 24. November 2014 des Mietgerichts des Sense- und Seebezirks wird aufgehoben und die Sache an die Vorinstanz zu neuem Entscheid im Sinne der Erwägungen des Bundegerichtsentscheides vom 13. April 2016 (4A_366/2015; 4A_368/2015) zurückgewiesen. II. Die Prozesskosten im Berufungsverfahren 102 2015 56 werden B.________ und C.________ solidarisch auferlegt. Es werden keine Gerichtskosten erhoben Die Parteientschädigung der A.________ wird auf total CHF 3‘035.35 (Grundentschädigung: CHF 1‘995.-; Streitwertzuschlag: CHF 757.75; Auslagen: CHF 97.75; MwSt.: CHF 224.85) festgesetzt. III. Im Neubeurteilungsverfahren 102 2016 98 werden keine Gerichtskosten erhoben und die Parteikosten werden wettgeschlagen. IV.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30. September 2016/aur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