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9 vom 19. Februar 2016</w:t>
      </w:r>
    </w:p>
    <w:p>
      <w:r>
        <w:t>FR Kantonsgericht, 2016-02-19, DE</w:t>
      </w:r>
    </w:p>
    <w:p>
      <w:r>
        <w:rPr>
          <w:b/>
        </w:rPr>
        <w:t xml:space="preserve">Quelle: </w:t>
      </w:r>
      <w:r>
        <w:t>https://mcp.opencaselaw.ch/entscheid/fr_gerichte_102_2016_9</w:t>
      </w:r>
    </w:p>
    <w:p>
      <w:r>
        <w:t>FR: FR_GERICHTE 102 2016 9 du 19 février 2016</w:t>
      </w:r>
    </w:p>
    <w:p>
      <w:r>
        <w:t>IT: FR_GERICHTE 102 2016 9 del 19 febbraio 2016</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16 janvier 2016, le recours respecte ce délai, la décision attaquée ayant été notifiée à la recourante le 12 janvier 2016. c) La cognition de la Cour d'appel est pleine et entière en droit; s'agissant des faits, elle est en revanche limitée à leur constatation manifestement inexacte (art. 320 CPC). d) En application de l’art. 327 al. 2 CPC, la Cour d'appel peut statuer sur pièces, sans tenir audience. e) La valeur litigieuse est de CHF 3'159.45 (art. 51 al. 1 let. a LTF).</w:t>
      </w:r>
    </w:p>
    <w:p>
      <w:r>
        <w:rPr>
          <w:b/>
        </w:rPr>
        <w:t>E. 2</w:t>
      </w:r>
    </w:p>
    <w:p>
      <w:r>
        <w:t>a) Le Président a considéré que la requérante n’avait pas produit de reconnaissance de dette valable dans la mesure où le dossier ne contenait aucune pièce comportant la signature de l’opposante par laquelle elle reconnaissait devoir le montant poursuivi. b) A.________ SA requiert implicitement le prononcé de la mainlevée provisoire de l’opposition formée par B.________ SA. A l’appui de son recours, elle allègue que cette société l’aurait mandatée pour effectuer des travaux de laboratoire, ce qui ressort de la fiche d’instruction remplie par la Dresse C.________, et ajoute que cette pratique est usuelle entre les dentistes et les laboratoires et qu’aucun dentiste ne signe de bulletin de livraison lorsqu’il reçoit le matériel Tribunal cantonal TC Page 3 de 5 commandé du laboratoire. En l’espèce, le matériel demandé a bien été livré à la débitrice qui n’a pas formulé de réclamation et qui l’a posé sur ses patients. c)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(P.-R. GILLIÉRON, Poursuite pour dettes, faillite et concordat, 4ème éd., Bâle 2005, n. 776 p. 155). Ainsi, une facture adressée par le vendeur à l’acheteur vaut reconnaissance de dette si elle est signée par l’acheteur sans réserve ni condition (F.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Zurich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(SCHMIDT, Commentaire romand 2005, art. 82 LP, N 19). Tribunal cantonal TC Page 4 de 5 d) En l’espèce, la recourante a produit en procédure des bulletins de commande de matériel, remplis par la Dresse C.________, qui lui ont été adressés, la facture relative aux prestations requises qui porte sur un montant de CHF 3'159.45 et qu’elle a envoyée à la débitrice le 27 février 2015, une lettre de rappel de paiement, ainsi que des bulletins de livraison des 9 et 19 février 2015 relatifs au matériel commandé, accompagnés du code barre postal attestant de la livraison. Bien que l’on puisse inférer du rapprochement de ces documents que la société A.________ SA a vraisemblablement fourni certaines prestations à B.________ SA, aucune des pièces produites par la requérante ne comporte la signature de l’opposante par laquelle elle reconnaitrait devoir à la société A.________ SA le montant poursuivi de sorte que les documents produits en justice ne constituent pas une reconnaissance de dette. En outre, le fait qu’il s’agisse d’une pratique usuelle entre dentistes et laboratoires de fournir les prestations requises aux dentistes sans qu’ils n’aient signé de bulletin de commande ou de livraison n’y change rien. Il en découle que la recourante n’a pas produit un titre de mainlevée provisoire et que c’est à bon droit que le premier juge a rejeté la requête de mainlevée introduite par la créancière. Pour faire reconnaître son droit, la société A.________ SA aurait dû introduire à l'encontre de l'intimée une action en reconnaissance de dette au sens de l'art. 79 al. 1 LP. Il s’ensuit le rejet du recours.</w:t>
      </w:r>
    </w:p>
    <w:p>
      <w:r>
        <w:rPr>
          <w:b/>
        </w:rPr>
        <w:t>E. 3</w:t>
      </w:r>
    </w:p>
    <w:p>
      <w:r>
        <w:t>a) Les frais de la procédure de recours doivent être mis à la charge de la recourante, qui succombe (art. 106 al. 1 CPC). Ils comprennent les frais judiciaires, fixés forfaitairement à CHF 300.- (art. 48 et 61 al. 1 de l’ordonnance du 23 septembre 1996 sur les émoluments perçus en application de la loi fédérale sur la poursuite pour dettes et la faillite [OELP; RS 281.35]), qui seront prélevés sur l’avance de frais effectuée par A.________ SA. b) Il ne sera pas alloué de dépens à l’intimée qui ne s’est pas déterminée. (dispositif en page suivante) Tribunal cantonal TC Page 5 de 5 la Cour arrête: I. Le recours est rejeté. Partant, la décision du Président du Tribunal civil de l'arrondissement de la Sarine du</w:t>
      </w:r>
    </w:p>
    <w:p>
      <w:r>
        <w:rPr>
          <w:b/>
        </w:rPr>
        <w:t>E. 7</w:t>
      </w:r>
    </w:p>
    <w:p>
      <w:r>
        <w:t>janvier 2016 est confirmée. II. Les frais de la procédure de recours sont mis à la charge de A.________ SA. Les frais judiciaires sont fixés à CHF 300.-.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février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