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214 vom 25. Oktober 2016</w:t>
      </w:r>
    </w:p>
    <w:p>
      <w:r>
        <w:t>FR Kantonsgericht, 2016-10-25, FR</w:t>
      </w:r>
    </w:p>
    <w:p>
      <w:r>
        <w:rPr>
          <w:b/>
        </w:rPr>
        <w:t xml:space="preserve">Quelle: </w:t>
      </w:r>
      <w:r>
        <w:t>https://mcp.opencaselaw.ch/entscheid/fr_gerichte_102_2016_214</w:t>
      </w:r>
    </w:p>
    <w:p>
      <w:r>
        <w:t>FR: FR_GERICHTE 102 2016 214 du 25 octobre 2016</w:t>
      </w:r>
    </w:p>
    <w:p>
      <w:r>
        <w:t>IT: FR_GERICHTE 102 2016 214 del 25 ottobre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civile. La décision attaquée a été notifiée au recourant le 5 octobre 2016 ; déposé le 9 octobre 2016,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w:t>
      </w:r>
    </w:p>
    <w:p>
      <w:r>
        <w:t>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b) Avant l’issu du délai de recours, la recourante a payé à l’Office des poursuites de la Broye la somme de CHF 3'306.90. Cette somme n’est toutefois pas suffisante pour couvrir la dette en poursuite, les intérêts et les frais. Comme la recourante en a été informée par le Président le 5 septembre 2016, c’est un montant de CHF 3'372.90 qui aurait dû être versé (DO 7, 8). Par conséquent, le recours doit être rejeté pour ce seul motif, la première condition cumulative exigée par l'art. 174 al. 2 LP n’étant déjà pas remplie. c) Au demeurant, la recourante n’a pas produit de documents de nature à rendre vraisemblable sa solvabilité malgré le courrier du Président de la Cour la rendant attentive aux exigences de l’art. 174 al. 2 LP. Selon le procès-verbal d’interrogatoire du 6 octobre 2016, elle a déclaré avoir des dettes à l’Office de poursuites de la Broye pour un montant de CHF 7'000.- dont une partie aurait été réglée. Elle n'a toutefois pas produit un extrait du registre des poursuites. S’agissant de ses liquidités, elle n’a démontré disposer que d’un montant de CHF 4'006.- sur son compte bancaire ; rien n’indique que ce montant soit objectivement suffisant pour payer ses dettes et faire face aux autres prétentions exigibles. La recourante n’a en outre produit ni factures échues adressées à des clients, comptes annuels récents ou bilan intermédiaire permettant de faire état de sa situation financière et rendre vraisemblable sa solvabilité. Ainsi, la deuxième condition de l’art. 174 al. 2 LP n’est pas non plus réalisée.</w:t>
      </w:r>
    </w:p>
    <w:p>
      <w:r>
        <w:rPr>
          <w:b/>
        </w:rPr>
        <w:t>E. 3</w:t>
      </w:r>
    </w:p>
    <w:p>
      <w:r>
        <w:t>Vu le sort du recours, la requête d’effet suspensif devient sans objet.</w:t>
      </w:r>
    </w:p>
    <w:p>
      <w:r>
        <w:rPr>
          <w:b/>
        </w:rPr>
        <w:t>E. 4</w:t>
      </w:r>
    </w:p>
    <w:p>
      <w:r>
        <w:t>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Ils seront prélevés sur l’avance effectuée. b) Il n’est pas alloué de dépens, l’intimée n’ayant pas été invitée à se déterminer sur le recours.</w:t>
      </w:r>
    </w:p>
    <w:p>
      <w:r>
        <w:t>Tribunal cantonal TC Page 4 de 4 la Cour arrête: I. Le recours est rejeté. Partant, la décision de faillite du 4 octobre 2016 (cause n° ddd) rendue par le Président du Tribunal civil de l'arrondissement de la Broye est intégralement confirmée. II. La requête d’effet suspensif est sans objet. III. Les frais de la procédure de recours sont mis à la charge de A.________ Sàrl. Les frais judiciaires dus à l’Etat sont fixés à CHF 500.- (émolument forfaitaire). Ils seront prélevés sur l’avance de frais effectuée.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25 octobre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