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123 vom 28. Juli 2016</w:t>
      </w:r>
    </w:p>
    <w:p>
      <w:r>
        <w:t>FR Kantonsgericht, 2016-07-28, FR</w:t>
      </w:r>
    </w:p>
    <w:p>
      <w:r>
        <w:rPr>
          <w:b/>
        </w:rPr>
        <w:t xml:space="preserve">Quelle: </w:t>
      </w:r>
      <w:r>
        <w:t>https://mcp.opencaselaw.ch/entscheid/fr_gerichte_102_2016_123</w:t>
      </w:r>
    </w:p>
    <w:p>
      <w:r>
        <w:t>FR: FR_GERICHTE 102 2016 123 du 28 juillet 2016</w:t>
      </w:r>
    </w:p>
    <w:p>
      <w:r>
        <w:t>IT: FR_GERICHTE 102 2016 123 del 28 luglio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 La décision attaquée a été notifiée au recourant le 3 juin 2016 ; déposé le même jour, puis complété le 9 juin 2016,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(TF, arrêt 5P.399/1999 du 14.1.2000 consid. 2b; BSK SchKG II-GIROUD, 2ème éd.,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arrêt précité du 14.1.2000 consid. 2b; Tribunal cantonal, RFJ 2001 p. 69; GIROUD, art. 174 LP n. 26). En plus de ces documents, le poursuivi doit</w:t>
      </w:r>
    </w:p>
    <w:p>
      <w:r>
        <w:t>Tribunal cantonal TC Page 3 de 4 établir qu'aucune requête de faillite n'est pendante contre lui et qu'aucune poursuite exécutoire n'est en cours contre lui; il s'agit d'un minimum qui doit être exigé (ATF 102 Ia 153/JdT 1977 II 45, consid. 3 (trad.); GILLIÉRON, Commentaire de la loi fédérale sur la poursuite pour dettes et faillites,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L’extrait du registre des poursuites constitue un document indispensable pour évaluer la solvabilité du failli (Tribunal cantonal, RFJ 2005 p. 392 consid. 2b i.f. et les références citées). En définitive, il suffit, pour l'annulation du jugement de faillite, que la solvabilité du failli soit plus probable que son insolvabilité; cela étant, il ne faut pas poser d'exigences trop sévères (arrêt du Tribunal fédéral 5A_509/2014 du 27.8.2014 consid. 4.2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LP-COMETTA, 2005, art. 174 LP n. 10). Seuls les moyens à disposition immédiatement et concrètement doivent être pris en considération, alors que ceux futurs et attendus, encore que possibles, ne doivent pas l'être (ibidem, n. 8).</w:t>
      </w:r>
    </w:p>
    <w:p>
      <w:r>
        <w:rPr>
          <w:b/>
        </w:rPr>
        <w:t>E. 3</w:t>
      </w:r>
    </w:p>
    <w:p>
      <w:r>
        <w:t>a) Le 6 juin 2016, soit dans le délai de recours, le recourant a déposé auprès du greffe du Tribunal cantonal la somme de CHF 1'836.65, soit la totalité du montant en poursuite, intérêts et frais inclus. La première condition cumulative de l'art. 174 al. 2 LP est ainsi réalisée. b) Ceci étant, malgré le paiement de la créance qui a donné lieu à la commination de faillite, force est de constater que l’extrait des poursuites du 8 juin 2016 fait état de nombreuses poursuites encore ouvertes à l’encontre du failli – dont l’une se trouve au stade de la commination de faillite – pour des montants totalisant plusieurs milliers de francs, sans compter les tout aussi nombreux actes de défaut de biens délivrés à son encontre pour un montant total de CHF 22'500.85. Or, le recourant n’a produit aucun document, tel un extrait récent de compte bancaire, de nature à établir qu’il est en mesure de solder les poursuites en cours. Partant, la deuxième condition de l’art. 174 al. 2 LP n’est pas réalisée ce qui entraîne le rejet du recours.</w:t>
      </w:r>
    </w:p>
    <w:p>
      <w:r>
        <w:rPr>
          <w:b/>
        </w:rPr>
        <w:t>E. 4</w:t>
      </w:r>
    </w:p>
    <w:p>
      <w:r>
        <w:t>L’attention du recourant est attirée sur la possibilité d’obtenir la révocation de la faillite aux conditions de l’art. 195 LP.</w:t>
      </w:r>
    </w:p>
    <w:p>
      <w:r>
        <w:rPr>
          <w:b/>
        </w:rPr>
        <w:t>E. 5</w:t>
      </w:r>
    </w:p>
    <w:p>
      <w:r>
        <w:t>a) Les frais de la procédure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b) Il n’est pas alloué de dépens, l’intimée n’ayant pas été invitée à se déterminer sur le recours.</w:t>
      </w:r>
    </w:p>
    <w:p>
      <w:r>
        <w:t>Tribunal cantonal TC Page 4 de 4 la Cour arrête: I. Le recours est rejeté. Partant, la décision de faillite du 30 mai 2016 (cause n° ddd) rendue par le Président du Tribunal civil de l'arrondissement de la Sarine est intégralement confirmée. II. Les frais de la procédure de recours sont mis à la charge de A.________. Les frais judiciaires dus à l’État sont fixés à CHF 500.- (émolument forfaitaire). Ils seront prélevés sur l’avance de frais effectuée. Il n’est pas alloué de dépens. III. Le montant consigné au greffe du Tribunal cantonal le 6 juin 2016, par CHF 1'836.65, sera versé à l’Office des faillites du canton de Fribourg, dès que le présent arrêt sera définitif et exécutoire.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28 juillet 2016/lda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