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114 vom 21. Juni 2016</w:t>
      </w:r>
    </w:p>
    <w:p>
      <w:r>
        <w:t>FR Kantonsgericht, 2016-06-21, FR</w:t>
      </w:r>
    </w:p>
    <w:p>
      <w:r>
        <w:rPr>
          <w:b/>
        </w:rPr>
        <w:t xml:space="preserve">Quelle: </w:t>
      </w:r>
      <w:r>
        <w:t>https://mcp.opencaselaw.ch/entscheid/fr_gerichte_102_2016_114</w:t>
      </w:r>
    </w:p>
    <w:p>
      <w:r>
        <w:t>FR: FR_GERICHTE 102 2016 114 du 21 juin 2016</w:t>
      </w:r>
    </w:p>
    <w:p>
      <w:r>
        <w:t>IT: FR_GERICHTE 102 2016 114 del 21 giugno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Code de procédure civil. La décision attaquée a été notifiée à la recourante le 20 mai 2016; déposé le 23 mai 2016, le recours a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(Tribunal cantonal, RFJ 1999 p. 82). La solvabilité, au sens de l'art. 174 al. 2 LP, se définit par opposition à l'insolvabilité au sens de l'art. 191 LP (TF, arrêt 5P.399/1999 du 14.1.2000 consid. 2b; BSK SchKG II-GIROUD, 2010, art. 174 LP n. 26). Celle-ci, qui n'équivaut pas au surendettement, est l'incapacité du débiteur, en raison d'un manque de liquidités qui n'apparaît pas seulement temporaire, de payer ses dettes échues (arrêt précité du 14.1.2000 consid. 2b; AMONN/WALTHER, Grundriss des Schuldbetreibungs- und Konkursrecht,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w:t>
      </w:r>
    </w:p>
    <w:p>
      <w:r>
        <w:t>Tribunal cantonal TC Page 3 de 4 crédit bancaire) à sa disposition, liste des débiteurs, extrait du registre des poursuites, comptes annuels récents, bilan intermédiaire, etc. (TF, arrêt précité du 14.1.2000 consid. 2b; Tribunal cantonal, RFJ 2001 p. 69; GIROUD, art. 174 LP n. 26). En plus de ces documents, le poursuivi doit établir qu'aucune requête de faillite n'est pendante contre lui et qu'aucune poursuite exécutoire n'est en cours contre lui; il s'agit d'un minimum qui doit être exigé (ATF 102 Ia 153/JdT 1977 II 45, consid. 3 (trad.); GILLIÉRON, Commentaire de la loi fédérale sur la poursuite pour dettes et faillites,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L’extrait du registre des poursuites constitue un document indispensable pour évaluer la solvabilité du failli (Tribunal cantonal, RFJ 2005 p. 392 consid. 2b i.f. et les références citées). En définitive, il suffit, pour l'annulation du jugement de faillite, que la solvabilité du failli soit plus probable que son insolvabilité; cela étant, il ne faut pas poser d'exigences trop sévères (arrêt du Tribunal fédéral 5A_529/2008 du 25.9.2008 et les références citées).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1ère phrase LP (CR LP-COMETTA, 2005, art. 174 LP n. 10). Seuls les moyens à disposition immédiatement et concrètement doivent être pris en considération, alors que ceux futurs et attendus, encore que possibles, ne doivent pas l'être (ibidem, n. 8).</w:t>
      </w:r>
    </w:p>
    <w:p>
      <w:r>
        <w:rPr>
          <w:b/>
        </w:rPr>
        <w:t>E. 3</w:t>
      </w:r>
    </w:p>
    <w:p>
      <w:r>
        <w:t>a) Le 25 mai 2016, soit dans le délai de recours, la recourante a versé CHF 23'670.37 sur le compte postal du Tribunal cantonal, soit le solde du montant à rembourser. La première condition cumulative de l'art. 174 al. 2 LP est ainsi réalisée. b) Ceci étant, malgré le paiement de la créance qui a donné lieu à la commination de faillite, l’extrait de l’Office des poursuites de la Sarine du 25 mai 2016 fait encore état de</w:t>
      </w:r>
    </w:p>
    <w:p>
      <w:r>
        <w:rPr>
          <w:b/>
        </w:rPr>
        <w:t>E. 4</w:t>
      </w:r>
    </w:p>
    <w:p>
      <w:r>
        <w:t>L’attention de la recourante est attirée sur la possibilité d’obtenir la révocation de la faillite aux conditions de l’art. 195 LP.</w:t>
      </w:r>
    </w:p>
    <w:p>
      <w:r>
        <w:rPr>
          <w:b/>
        </w:rPr>
        <w:t>E. 5</w:t>
      </w:r>
    </w:p>
    <w:p>
      <w:r>
        <w:t>a) Les frais de la procédure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 b) Il n’est pas alloué de dépens, l’intimée n’ayant pas été invitée à se déterminer sur le recours.</w:t>
      </w:r>
    </w:p>
    <w:p>
      <w:r>
        <w:t>Tribunal cantonal TC Page 4 de 4 la Cour arrête: I. Le recours est rejeté. Partant, la décision de faillite du 18 mai 2016 (cause n° eee) rendue par le Président du Tribunal civil de l'arrondissement de la Glâne est intégralement confirmée. II. Les frais de la procédure de recours sont mis à la charge de la société A.________. Les frais judiciaires dus à l’État sont fixés à CHF 500.- (émolument forfaitaire). Ils seront prélevés sur l’avance de frais effectuée. Il n’est pas alloué de dépens. III. Le montant consigné au greffe du Tribunal cantonal le 25 mai 2016, par CHF 23'670.37, sera versé à l’Office des faillites du canton de Fribourg, dès que le présent arrêt sera définitif et exécutoire.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RS 173.110). L'acte de recours motivé doit être adressé au Tribunal fédéral, 1000 Lausanne 14. Fribourg, le 21 juin 2016/lda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