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109 vom 8. Juni 2016</w:t>
      </w:r>
    </w:p>
    <w:p>
      <w:r>
        <w:t>FR Kantonsgericht, 2016-06-08, FR</w:t>
      </w:r>
    </w:p>
    <w:p>
      <w:r>
        <w:rPr>
          <w:b/>
        </w:rPr>
        <w:t xml:space="preserve">Quelle: </w:t>
      </w:r>
      <w:r>
        <w:t>https://mcp.opencaselaw.ch/entscheid/fr_gerichte_102_2016_109</w:t>
      </w:r>
    </w:p>
    <w:p>
      <w:r>
        <w:t>FR: FR_GERICHTE 102 2016 109 du 8 juin 2016</w:t>
      </w:r>
    </w:p>
    <w:p>
      <w:r>
        <w:t>IT: FR_GERICHTE 102 2016 109 del 8 giugno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étant sommaire, le délai de recours est de dix jours à compter de la notification (art. 251 let. a et 321 al. 2 CPC). La décision querellée a été notifiée au recourant le 13 mai 2016, si bien que le recours, déposé le 20 mai 2016, l’a été en temps utile. c) La valeur litigieuse est de CHF 40'000.-. d) Conformément à l’art. 327 al. 2 CPC, la Cour d’appel peut statuer sur pièces, sans tenir audience. e)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2013, art. 326 n. 4). En l’occurrence, le recourant produit nouvellement un courrier qu’il a adressé le 7 avril 2016 à la Présidente du Tribunal civil de l’arrondissement de la Sarine dans le cadre d’une autre procédure de mainlevée (doss. 10 2016 577). Il allègue également pour la première fois devant la Cour des faits qu’il n’a pas fait valoir en première instance dans la mesure où il ne s’était pas déterminé sur la réquisition de mainlevée. Ces moyens sont irrecevables dès lors qu’ils ont été produits</w:t>
      </w:r>
    </w:p>
    <w:p>
      <w:r>
        <w:t>Tribunal cantonal TC Page 3 de 4 tardivement. Ceci étant, leur prise en considération n'aurait de toute façon pas été susceptible d'exercer une influence sur le sort de la cause.</w:t>
      </w:r>
    </w:p>
    <w:p>
      <w:r>
        <w:rPr>
          <w:b/>
        </w:rPr>
        <w:t>E. 2</w:t>
      </w:r>
    </w:p>
    <w:p>
      <w:r>
        <w:t>a) Par ailleurs,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CHAIX, Introduction au recours de la nouvelle procédure civile fédérale in SJ 2009 II p. 262 ss). Le défaut de motivation n'est pas d'ordre purement formel et affecte l'appel de façon irréparable (CPC-JEANDIN, art. 311 n. 5). b) En l’espèce, force est de constater que l’acte de recours déposé par A.________ ne contient aucune motivation idoine. En effet, le recourant n’a formulé aucun grief concret, ayant un minimum de consistance, à l’encontre de la décision querellée. Il se contente d’indiquer, par ailleurs tardivement (cf. supra consid. 1 e), qu’il s’est expliqué dans sa correspondance du 7 avril 2016 relative à une autre cause et ne voit pas ce qu’il pourrait alléguer de plus, qu’il perçoit une rente AVS de sorte qu’il trouve injuste de lui faire payer CHF 210.- par mois, et qu’il sera absent de son domicile car il se rend chez sa fille jusqu’au 5 juillet 2016. Il se limite donc à présenter sa propre versions des faits mais n'expose cependant pas en quoi le premier juge aurait eu tort d’admettre la requête de mainlevée définitive et ne formule aucune critique à l'encontre des motifs de la décision querellée elle-même selon lesquels la requérante dispose d'un titre de mainlevée au sens de l’art. 80 al. 2 ch. 2 LP, ne remettant ainsi pas en cause la motivation du Président conformément aux réquisits doctrinaux et jurisprudentiels rappelés ci-dessus. Au vu de ce qui précède, le recourant n’a pas respecté les exigences précitées, ce qui s’apparente à un défaut de motivation (art. 321 al. 1 CPC) et son recours doit par conséquent être déclaré irrecevable.</w:t>
      </w:r>
    </w:p>
    <w:p>
      <w:r>
        <w:rPr>
          <w:b/>
        </w:rPr>
        <w:t>E. 3</w:t>
      </w:r>
    </w:p>
    <w:p>
      <w:r>
        <w:t>Supposé recevable, le recours devrait de toute façon être rejeté dans la mesure où il est mal fondé. En effet, la requérante a produit la décision de sa Commission sociale du 5 septembre 2007 astreignant l’opposant à rembourser un montant de CHF 40'000.-, attestée définitive et exécutoire, de sorte qu’elle constitue un titre de mainlevée définitive au sens de l’art. 80 al. 2 ch. 2 LP (HANSJÖRG, La mainlevée de l’opposition – La mainlevée définitive, in Rechtsöffnung und Zivilprozess – national und international, 2014, p. 12). De son côté, le débiteur n’a pas fait valoir un des moyens de défense de l’art. 81 al. 1 LP, à savoir la preuve par titre de l’extinction de la dette, l’obtention d’un sursis postérieurement au jugement ou encore la prescription de la dette. Il s’ensuit que le débiteur n’a pas prouvé sa libération de sorte que c’est à bon droit que le premier juge à prononcé la mainlevée définitive de l’opposition.</w:t>
      </w:r>
    </w:p>
    <w:p>
      <w:r>
        <w:rPr>
          <w:b/>
        </w:rPr>
        <w:t>E. 4</w:t>
      </w:r>
    </w:p>
    <w:p>
      <w:r>
        <w:t>a) Les frais de la procédure de recours doivent être mis à la charge du recourant, qui succombe (art. 106 al. 1 CPC). Ils comprennent les frais judiciaires, fixés forfaitairement à CHF 200.- (art. 48 et 61 al. 1 OELP).</w:t>
      </w:r>
    </w:p>
    <w:p>
      <w:r>
        <w:t>Tribunal cantonal TC Page 4 de 4 b) Dans la mesure où l’intimée n’a pas été invitée à se déterminer, conformément à l’art. 322 al. 1 CPC, il ne lui sera pas alloué de dépens. la Cour arrête: I. Le recours est irrecevable. II. Les frais de la procédure de recours sont mis à la charge de A.________. Les frais judiciaires sont fixés à CHF 200.-.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