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59 vom 30. April 2015</w:t>
      </w:r>
    </w:p>
    <w:p>
      <w:r>
        <w:t>FR Kantonsgericht, 2015-04-30, FR</w:t>
      </w:r>
    </w:p>
    <w:p>
      <w:r>
        <w:rPr>
          <w:b/>
        </w:rPr>
        <w:t xml:space="preserve">Quelle: </w:t>
      </w:r>
      <w:r>
        <w:t>https://mcp.opencaselaw.ch/entscheid/fr_gerichte_102_2015_59</w:t>
      </w:r>
    </w:p>
    <w:p>
      <w:r>
        <w:t>FR: FR_GERICHTE 102 2015 59 du 30 avril 2015</w:t>
      </w:r>
    </w:p>
    <w:p>
      <w:r>
        <w:t>IT: FR_GERICHTE 102 2015 59 del 30 aprile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suisse [CPC]) au Tribunal cantonal est ouverte (art. 319 let. a CPC), l'appel n'étant pas recevable contre une décision de mainlevée (art. 309 let. b ch. 3 CPC). b) En vertu de l'art. 321 al. 2 CPC, le délai pour faire recours contre la décision de mainlevée est de 10 jours à compter de sa notification, la procédure de mainlevée étant sommaire (art. 251 let. a CPC). Posté le 9 mars 2015, le recours respecte ce délai, la décision querellée ayant été notifiée à la recourante le 2 mars 2015. c) La cognition de la Cour d’appel est pleine et entière en droit ; s’agissant des faits, elle est limitée à leur constatation manifestement inexacte (art. 320 CPC). d) La valeur litigieuse est de 3'720 francs. e) Aux termes de l'art. 327 al. 2 CPC, la Cour d'appel peut statuer sur pièces, sans tenir d’audience.</w:t>
      </w:r>
    </w:p>
    <w:p>
      <w:r>
        <w:rPr>
          <w:b/>
        </w:rPr>
        <w:t>E. 2</w:t>
      </w:r>
    </w:p>
    <w:p>
      <w:r>
        <w:t>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signé par le poursuivi – ou son représentant (ATF 112 III 88) – duquel il ressort sa volonté de payer au</w:t>
      </w:r>
    </w:p>
    <w:p>
      <w:r>
        <w:t>Tribunal cantonal TC Page 3 de 5 poursuivant, sans réserve ni condition, une somme d'argent déterminée ou aisément déterminable et échue. Elle peut découler du rapprochement de plusieurs pièces, pour autant que les éléments nécessaires en résultent (ATF 132 III 480 consid. 4.1 et les arrêts cités). Selon la volonté du législateur, le droit en matière de poursuite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(Message du Conseil fédéral concernant la loi fédérale sur la poursuite pour dettes et la faillite du 23 février 1886, in FF 1886 II 61/62). Dans la procédure de mainlevée définitive ou provisoire, qui est une pure procédure d'exécution forcée (ATF 94 I 365 consid. 6 p. 373; ATF 136 III 583 consid. 2.3), un incident de la poursuite, le juge doit examiner le jugement exécutoire ou les titres y assimilés, respectivement le titre – public ou privé – qu'est la reconnaissance de dette et statuer sur le droit du créancier de poursuivre le débiteur, c'est-à-dire décider si l'opposition doit ou ne doit pas être maintenue. Selon la jurisprudence, le juge de la mainlevée provisoire est autorisé à lever provisoirement l'opposition du débiteur à la poursuite sur le seul vu d'une reconnaissance de dette sous seing privé et même d'un contrat, si le débiteur ne rend pas immédiatement vraisemblable sa libération, et cela peut avoir pour conséquence de permettre au créancier de faire réaliser les biens du débiteur et d'obtenir ainsi satisfaction si ce dernier n'ouvre pas action en libération de dette en temps utile (ATF 74 II 47 consid. 3 p. 51/52).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58 I 363 consid. 2 p. 369/370).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(TF, arrêt 5P.171/2005 du</w:t>
      </w:r>
    </w:p>
    <w:p>
      <w:r>
        <w:rPr>
          <w:b/>
        </w:rPr>
        <w:t>E. 7</w:t>
      </w:r>
    </w:p>
    <w:p>
      <w:r>
        <w:t>octobre 2005 consid. 4.1.1 et réf. citées). b) Selon l'art. 320 CPC, le recours est recevable pour violation du droit et pour constatation manifestement inexacte des faits; il doit être motivé (art. 321 al. 1 CPC). Par "motivé", il faut comprendre que le recourant doit définir les modifications qui devraient être apportées au jugement attaqué et décrire les raisons qui justifieraient de telles modifications. En d’autres termes, cela signifie que le recourant a le fardeau d’expliquer pourquoi le jugement attaqué doit être annulé et modifié, par référence à l’un ou l’autre motif(s) prévu(s) à l’art. 320 CPC (CPC-JEANDIN, art. 321 N 4 et art. 311 N 3). L’instance supérieure doit pouvoir comprendre ce qui est reproché au premier juge sans avoir à rechercher des griefs par elle-même, ce qui exige une certaine précision quant à l’énoncé et à la discussion des griefs (CPC-JEANDIN, art. 311 N 3; cf. ég. F. CHAIX, Introduction au recours de la nouvelle procédure civile fédérale in SJ 2009 II p. 262 ss). A défaut de motivation ou de motivation suffisante, comme pour l'appel, l'autorité de recours n'entre pas en matière (ATF 133 IV 286 consid. 1.4). S’agissant des exigences de motivation, il y a lieu de faire montre d’une certaine souplesse dans le cas d’espèce dès lors que la recourante ne dispose de toute évidence pas de connaissances juridiques particulières (CPC-JEANDIN, art. 321 N 4 et art. 311 N 3). De plus, elle n’était pas</w:t>
      </w:r>
    </w:p>
    <w:p>
      <w:r>
        <w:t>Tribunal cantonal TC Page 4 de 5 représentée par un mandataire professionnel. En tout état de cause, l'instance supérieure doit pouvoir comprendre sous quel angle la recourante s’en prend à la décision attaquée sans avoir à rechercher des griefs par elle-même, ce qui représente le seuil inférieur de motivation, qui, en l’espèce, est atteint. Il s’ensuit que le recours est recevable en la forme. 3. a)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est totale: elle englobe aussi bien les vrais que les pseudo-nova, même dans les procédures soumises à la maxime inquisitoire (FREIBURGHAUS/AFHELDT IN SUTTER-SOMM/ HASENBÖHLER/LEUENBERGER, Kommentar zur schweizerischen Zivilprozessordnung, Zurich/ Bâle/ Genève 2013, art. 326 N 4). b) La recourante allègue être la bailleresse depuis le 14 septembre 2006 et soumet une preuve nouvelle, soit le contrat d’exploitation entre A.________ et B.________ SA du 14 respectivement 19 septembre 2006. En l’espèce, ce contrat soumis par la recourante constitue une preuve nouvelle, compte tenu du fait qu’elle a été soulevée pour la première fois à ce stade de la procédure seulement, soit tardivement; elle est irrecevable. Il convient de relever que dans la mesure où il ne ressort aucunement de ce contrat que le bail initialement conclu entre E.________ et l’intimé ait été repris par la recourante, ce moyen de preuve n’aurait eu aucune incidence sur le sort de l’affaire. Au vu de ce qui précède, le grief doit être rejeté. 4. a) Les frais de la procédure de recours sont mis à la charge de la recourante, qui succombe (art. 106 CPC). Ils comprennent les frais judiciaires, fixés forfaitairement à 150 francs (art. 48 et 61 al. 1 OELP). b) En l’absence de détermination, il n’est pas alloué de dépens à l’intimé. (Dispositif en page suivante)</w:t>
      </w:r>
    </w:p>
    <w:p>
      <w:r>
        <w:t>Tribunal cantonal TC Page 5 de 5 la Cour arrête: I. Le recours est rejeté. Partant, la décision rendue par le Président du Tribunal civil de l’arrondissement de la Sarine le 20 février 2015 est confirmée. II. Les frais de la procédure de recours sont mis à la charge de A.________. Pour la procédure de recours, les frais judiciaires sont fixés forfaitairement à 150 francs.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avril 2015/rbr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