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297 vom 5. Februar 2016</w:t>
      </w:r>
    </w:p>
    <w:p>
      <w:r>
        <w:t>FR Kantonsgericht, 2016-02-05, FR</w:t>
      </w:r>
    </w:p>
    <w:p>
      <w:r>
        <w:rPr>
          <w:b/>
        </w:rPr>
        <w:t xml:space="preserve">Quelle: </w:t>
      </w:r>
      <w:r>
        <w:t>https://mcp.opencaselaw.ch/entscheid/fr_gerichte_102_2015_297</w:t>
      </w:r>
    </w:p>
    <w:p>
      <w:r>
        <w:t>FR: FR_GERICHTE 102 2015 297 du 5 février 2016</w:t>
      </w:r>
    </w:p>
    <w:p>
      <w:r>
        <w:t>IT: FR_GERICHTE 102 2015 297 del 5 febbraio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b) La procédure de mainlevée étant sommaire, le délai de recours est de dix jours à compter du jour de la notification (art. 251 let. a et 321 al. 2 CPC). La décision querellée a été notifiée à la recourante le 16 décembre 2015, si bien que le recours, déposé le 22 décembre 2015, l’a été en temps utile. c) La cognition de la Cour d’appel est pleine et entière en droit ; s’agissant des faits, elle est en revanche limitée à leur constatation manifestement inexacte (art. 320 let. b CPC). d) La valeur litigieuse est de CHF 4'500.-. e) En application de l’art. 327 al. 2 CPC, la Cour d’appel peut statuer sur pièces, sans tenir audience. f) En application de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(HOHL, Procédure civile, 2e éd. 2010, no 2516). L’impossibilité d’invoquer des faits nouveaux est totale : elle englobe aussi bien les vrais que les pseudos nova, même dans les procédures soumises à la maxime inquisitoire (FREIBURGHAUS/AFHELD, in Kommentar zur schweizerischen Zivilprozessordnung, 2e éd. 2013, art. 326 N. 3). En l’espèce, la recourante produit pour la première fois devant la Cour le contrat de cours de langue du 5 novembre 2014. Ce moyen étant nouveau, il est irrecevable.</w:t>
      </w:r>
    </w:p>
    <w:p>
      <w:r>
        <w:t>Tribunal cantonal TC Page 3 de 4</w:t>
      </w:r>
    </w:p>
    <w:p>
      <w:r>
        <w:rPr>
          <w:b/>
        </w:rPr>
        <w:t>E. 2</w:t>
      </w:r>
    </w:p>
    <w:p>
      <w:r>
        <w:t>La recourante soutient implicitement que sa requête de mainlevée doit être admise. En substance, elle allègue que l’intimée a signé un contrat de cours de langue au nom de F.________ pour lequel sept cours ont été réservés et auxquels ce dernier n’a jamais participé. Elle fait également valoir qu’aucune demande d’annulation n’a été faite par l’intimée ou par F.________. a)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(CR LP-SCHMIDT, 2005, art. 82 n. 18).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et la référence citée). b) En l’espèce, la recourante a valablement produit en procédure un extrait du registre du commerce du 29 septembre 2015, des procurations du 1er février 2013 ainsi que deux documents faisant état des classes réservées pour F.________. Ces derniers n’étant pas signés par l’intimée et n’indiquant au surplus aucun montant, ils ne constituent pas une reconnaissance de dette. Par conséquent, la recourante n’a pas valablement produit un titre de mainlevée provisoire. Il s’ensuit le rejet du recours.</w:t>
      </w:r>
    </w:p>
    <w:p>
      <w:r>
        <w:rPr>
          <w:b/>
        </w:rPr>
        <w:t>E. 3</w:t>
      </w:r>
    </w:p>
    <w:p>
      <w:r>
        <w:t>a) Les frais de la procédure de recours sont mis à la charge de la recourante, qui succombe (art. 106 al. 1 CPC). Ils comprennent les frais judiciaires, fixés forfaitairement à CHF 200.- (art. 48 et 61 al. 1 de l’ordonnance du 23 septembre 1996 sur les émoluments perçus en application de la loi fédérale sur la poursuite pour dettes et la faillite [OELP ; RS 281.35]). b) Il n’est pas alloué de dépens, aucun échange d’écriture n’ayant été ordonné et aucune conclusion prise dans ce sens. (dispositif page suivante)</w:t>
      </w:r>
    </w:p>
    <w:p>
      <w:r>
        <w:t>Tribunal cantonal TC Page 4 de 4 la Cour arrête: I. Le recours est rejeté. II. Les frais de la procédure de recours sont mis à la charge de A.________ SA. Les frais judiciaires dus à l’Etat pour la procédure de recours sont fixés à CHF 200.-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février 2016/ema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