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28 vom 18. März 2015</w:t>
      </w:r>
    </w:p>
    <w:p>
      <w:r>
        <w:t>FR Kantonsgericht, 2015-03-18, FR</w:t>
      </w:r>
    </w:p>
    <w:p>
      <w:r>
        <w:rPr>
          <w:b/>
        </w:rPr>
        <w:t xml:space="preserve">Quelle: </w:t>
      </w:r>
      <w:r>
        <w:t>https://mcp.opencaselaw.ch/entscheid/fr_gerichte_102_2015_28</w:t>
      </w:r>
    </w:p>
    <w:p>
      <w:r>
        <w:t>FR: FR_GERICHTE 102 2015 28 du 18 mars 2015</w:t>
      </w:r>
    </w:p>
    <w:p>
      <w:r>
        <w:t>IT: FR_GERICHTE 102 2015 28 del 18 marzo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 Déposé le 24 janvier 2015, le recours respecte ce délai, la décision attaquée ayant été notifiée à la recourante le 14 janvier 2015. c) La valeur litigieuse est de 2'435 fr. 35. d) En vertu de l'art. 327 al. 2 CPC, la Cour d'appel peut statuer sur pièces, sans tenir audience. En l’espèce, des débats ne se justifient pas.</w:t>
      </w:r>
    </w:p>
    <w:p>
      <w:r>
        <w:rPr>
          <w:b/>
        </w:rPr>
        <w:t>E. 2</w:t>
      </w:r>
    </w:p>
    <w:p>
      <w:r>
        <w:t>a) Les parties n’étant pas représentées par des avocats et se méprenant visiblement sur la nature de la procédure de mainlevée, il convient d’entrée de cause d’apporter les précisions suivantes :</w:t>
      </w:r>
    </w:p>
    <w:p>
      <w:r>
        <w:t>Tribunal cantonal TC Page 3 de 4 Le créancier qui entend obtenir de son débiteur la condamnation à lui payer une somme d’argent doit, en règle générale, suivre la voie suivante : il doit tout d’abord saisir le juge de la conciliation qui, si aucun accord n’est trouvé lors de son audience, délivrera une autorisation de procéder (art. 209 CPC), sauf les cas où il peut faire une proposition de jugement (notamment lorsque la valeur litigieuse inférieure à 5'000 francs ; art. 210 CPC), ou juger lui-même sur requête du créancier (valeur litigieuse ne dépassant pas 2'000 francs ; art. 212 CPC). Dans les trois mois qui suivent la délivrance de l’autorisation de procéder, le créancier devra alors saisir le juge du fond par une demande motivée (art. 221 et 244 CPC). La procédure devant celui-ci – ordinaire ou simplifiée – dépendra de la valeur litigieuse. Dans la plupart des cas, une réponse sera ordonnée (art. 222 et 245 al. 2 CPC) et une audience au moins aura lieu (art. 228 ss et 246 CPC), au cours de laquelle les parties seront auditionnées et les éventuels témoins entendus. Le juge pourra procéder en outre à une inspection ou ordonner une expertise. Il pourra également ordonner la production de titres (art. 168 CPC). Ainsi, et même dans les cas où la procédure simplifiée est applicable, il se déroule passablement de temps entre le dépôt d’une demande en justice et la notification de la décision finale, les tribunaux étant par ailleurs notoirement surchargés. Si le créancier dispose d’une reconnaissance de dette (art. 82 al. 1 LP), le législateur a mis à sa disposition une procédure sommaire, soit la procédure de mainlevée d’opposition. Il suffit alors au créancier de transmettre au juge de la mainlevée le commandement de payer et la reconnaissance de dette. Le juge statue en règle générale sans débats (art. 84 al. 2 LP) et, sauf si le débiteur parvient à rendre immédiatement reconnaissable sa libération, il lève provisoirement l’opposition (art. 82 al. 2 LP). Cette décision doit survenir relativement rapidement. Si l’opposition est provisoirement levée, il appartient alors au débiteur d’agir en saisissant le juge ordinaire d’une action en libération de dette dans les vingt jours. A défaut, la mainlevée devient définitive (art. 83 LP). En l’espèce, A.________ SA a clairement opté pour la procédure de mainlevée, non pour la procédure de conciliation. Elle ne peut voir sa requête favorablement accueillie que si elle dispose d’une reconnaissance de dette. b) La reconnaissance de dette est une déclaration par laquelle un débiteur manifeste au créancier qu'une dette déterminée existe (TF, arrêt 4A_152/2013 du 20 septembre 2013 consid. 2.3). Elle est usuellement définie comme un document signé par le poursuivi - voire son représentant -, d'où ressort sa volonté de payer au poursuivant, sans réserve ni condition, une somme d'argent déterminée, ou aisément déterminable, et exigible (ATF 136 III 624 consid. 4.2.2). En l’espèce, il est évident que l’écrit apposé par B.________ sur le véhicule Iveco ne répond pas à cette définition. L’intimé y a en effet exposé : « Suite au changement de pneus (la tenue de route n’est pas bonne) et qu’à la suite de plusieurs relances pour être payer [sic] des 1'000.- retenus, sans accord de ma part, j’ai repris les 4 pneus pour solde de ma facture ». Il ne reconnaît ainsi rien devoir à A.________ SA. Que sa position soit ou non fondée n’est pas pertinent. Le juge de la mainlevée devait uniquement examiner si la recourante pouvait se prévaloir d’un titre au sens de l’art. 82 al. 1 LP. Tel n’est pas le cas. Il s’ensuit le rejet du recours.</w:t>
      </w:r>
    </w:p>
    <w:p>
      <w:r>
        <w:rPr>
          <w:b/>
        </w:rPr>
        <w:t>E. 3</w:t>
      </w:r>
    </w:p>
    <w:p>
      <w:r>
        <w:t>a) Les frais de la procédure de recours doivent être mis à la charge de A.________ SA, qui succombe (art. 106 al. 1 CPC). Ils comprennent les frais judiciaires, fixés forfaitairement à 200 francs. Ils seront prélevés sur l’avance de frais effectuée par le recourant. b) L’intimé réclame des dépens. Il n’est toutefois pas assisté d’un avocat ; or,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 même une activité</w:t>
      </w:r>
    </w:p>
    <w:p>
      <w:r>
        <w:t>Tribunal cantonal TC Page 4 de 4 particulière, et ainsi, des frais pouvant être indemnisés (TF, arrêt 4A_355/2013 du 22 octobre 2013 consid. 4.2). En l’espèce, faute de motivation particulière, il ne sera pas alloué de dépens. la Cour arrête: I. Le recours est rejeté. Partant, la décision attaquée est confirmée dans la teneur suivante : 1. La requête de mainlevée déposée le 8 octobre 2014 par la société A.________ SA dans le cadre de la poursuite n° ccc de l'Office des poursuites de la Broye est rejetée (absence de pièce signée valant reconnaissance de dette). 2. Les frais judiciaires, fixés à 200 francs, sont mis à la charge de la société A.________ SA. Une indemnité de 30 francs est allouée à B.________ à titre de dépens, à la charge de la société A.________ SA. II. Les frais de la procédure de recours sont mis à la charge de A.________ SA. Pour la procédure de recours, les frais judiciaires sont fixés globalement à 200 francs. Ils seront prélevés sur l'avance de frais effectuée par A.________ SA.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