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264 vom 6. Januar 2016</w:t>
      </w:r>
    </w:p>
    <w:p>
      <w:r>
        <w:t>FR Kantonsgericht, 2016-01-06, DE</w:t>
      </w:r>
    </w:p>
    <w:p>
      <w:r>
        <w:rPr>
          <w:b/>
        </w:rPr>
        <w:t xml:space="preserve">Quelle: </w:t>
      </w:r>
      <w:r>
        <w:t>https://mcp.opencaselaw.ch/entscheid/fr_gerichte_102_2015_264</w:t>
      </w:r>
    </w:p>
    <w:p>
      <w:r>
        <w:t>FR: FR_GERICHTE 102 2015 264 du 6 janvier 2016</w:t>
      </w:r>
    </w:p>
    <w:p>
      <w:r>
        <w:t>IT: FR_GERICHTE 102 2015 264 del 6 gennaio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 le délai pour faire recours est de 10 jours à compter de sa notification (art. 321 al. 2 CPC), la procédure de mainlevée étant sommaire (art. 251 let. a CPC), délai que la recourante a respecté. b) Un recours manifestement irrecevable ou infondé peut être tranché sans échange d’écritures (art. 322 al. 1 CPC) ; la décision est rendue sur pièces, sans débats (art. 327 al. 2 CPC). Le Président de la Cour ou un juge délégué statue comme juge unique sur les recours manifestement irrecevables. Sa décision est succinctement motivée (art. 45 de la loi du 31 mai 2010 sur la justice [LJ ; RSF 130.1]).</w:t>
      </w:r>
    </w:p>
    <w:p>
      <w:r>
        <w:rPr>
          <w:b/>
        </w:rPr>
        <w:t>E. 2</w:t>
      </w:r>
    </w:p>
    <w:p>
      <w:r>
        <w:t>a) Le recours doit être motivé (art. 321 al. 1 CPC), ce que l’autorité doit vérifier d’office ; la recourante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 elle doit discuter au moins de manière succincte les considérants du jugement qu'elle attaque. Ce n'est bien évidemment pas le cas lorsque la motivation de l'appel est absolument identique aux moyens qui avaient déjà été présentés avant la reddition de la décision de première instance (TF 4A_97/2014 du 26 juin 2014 consid. 3.3) ; b) En l’espèce, A.________ se contente de contester la somme due en renvoyant, dans son recours, aux déterminations qu’elle a transmises au Président avant que ce dernier ne rende sa décision. Partant, la motivation du recours est en tout point identique aux moyens présentés avant la reddition de la décision de première instance. À aucun moment la recourante ne tente de Tribunal cantonal TC Page 3 de 3 démontrer que le premier Juge se serait mépris en retenant que l’intimée dispose d’un titre de mainlevée définitive au sens de l’art. 80 LP, de sorte que son recours est manifestement irrecevable.</w:t>
      </w:r>
    </w:p>
    <w:p>
      <w:r>
        <w:rPr>
          <w:b/>
        </w:rPr>
        <w:t>E. 3</w:t>
      </w:r>
    </w:p>
    <w:p>
      <w:r>
        <w:t>Les frais de la procédure de recours doivent être mis à la charge de la recourante, qui succombe (art. 106 al. 1 CPC). Ils comprennent les frais judiciaires, fixés forfaitairement à CHF 150.- (art. 95 al. 2 let. b CPC). L’intimée n’ayant pas été invitée à se déterminer et n'ayant dès lors pas requis de dépens au sens de l'art 95 al. 3 CPC, il n'en sera pas alloué. Le Président arrête: I. Le recours est irrecevable. II. Les frais de la procédure de recours sont mis à la charge de A.________. Pour la procédure de recours, les frais judiciaires sont fixés globalement à CHF 150.-.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janvier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