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263 vom 6. Januar 2016</w:t>
      </w:r>
    </w:p>
    <w:p>
      <w:r>
        <w:t>FR Kantonsgericht, 2016-01-06, FR</w:t>
      </w:r>
    </w:p>
    <w:p>
      <w:r>
        <w:rPr>
          <w:b/>
        </w:rPr>
        <w:t xml:space="preserve">Quelle: </w:t>
      </w:r>
      <w:r>
        <w:t>https://mcp.opencaselaw.ch/entscheid/fr_gerichte_102_2015_263</w:t>
      </w:r>
    </w:p>
    <w:p>
      <w:r>
        <w:t>FR: FR_GERICHTE 102 2015 263 du 6 janvier 2016</w:t>
      </w:r>
    </w:p>
    <w:p>
      <w:r>
        <w:t>IT: FR_GERICHTE 102 2015 263 del 6 gennaio 2016</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(art. 319 ss CPC) au Tribunal cantonal est ouverte (art. 319 let. a CPC), l’appel n'étant pas recevable contre une décision de mainlevée (art. 309 let. b ch. 3 CPC) ; le délai pour faire recours est de 10 jours à compter de sa notification (art. 321 al. 2 CPC), la procédure de mainlevée étant sommaire (art. 251 let. a CPC), délai que la recourante a respecté. b) Un recours manifestement irrecevable ou infondé peut être tranché sans échange d’écritures (art. 322 al. 1 CPC) ; la décision est rendue sur pièces, sans débats (art. 327 al. 2 CPC). Le Président de la Cour ou un juge délégué statue comme juge unique sur les recours manifestement irrecevables. Sa décision est succinctement motivée (art. 45 de la loi du 31 mai 2010 sur la justice [LJ ; RSF 130.1]).</w:t>
      </w:r>
    </w:p>
    <w:p>
      <w:r>
        <w:rPr>
          <w:b/>
        </w:rPr>
        <w:t>E. 2</w:t>
      </w:r>
    </w:p>
    <w:p>
      <w:r>
        <w:t>a) Le recours doit être motivé (art. 321 al. 1 CPC), ce que l’autorité doit vérifier d’office ; la recourante doit ainsi expliquer en quoi, à son avis, la décision attaquée est inexacte, c'est-à-dire démontrer le caractère erroné de la motivation attaquée. Pour satisfaire à cette exigence, il ne lui suffit cependant pas de renvoyer aux moyens soulevés en première instance, ni de se livrer à des critiques toutes générales de la décision attaquée (ATF 138 III 374 consid. 4.3.1) ; elle doit discuter au moins de manière succincte les considérants du jugement qu'elle attaque. Ce n'est bien évidemment pas le cas lorsque la motivation de l'appel est absolument identique aux moyens qui avaient déjà été présentés avant la reddition de la décision de première instance (TF 4A_97/2014 du 26 juin 2014 consid. 3.3) ; b) En l’espèce, A.________ se contente de contester la somme due en renvoyant, dans son recours, aux déterminations qu’elle a transmises au Président avant que ce dernier ne rende sa décision. Partant, la motivation du recours est en tout point identique aux moyens présentés avant la reddition de la décision de première instance. À aucun moment la recourante ne tente de</w:t>
      </w:r>
    </w:p>
    <w:p>
      <w:r>
        <w:t>Tribunal cantonal TC Page 3 de 3 démontrer que le premier Juge se serait mépris en retenant que l’intimé dispose d’un titre de mainlevée définitive au sens de l’art. 80 LP, de sorte que son recours est manifestement irrecevable.</w:t>
      </w:r>
    </w:p>
    <w:p>
      <w:r>
        <w:rPr>
          <w:b/>
        </w:rPr>
        <w:t>E. 3</w:t>
      </w:r>
    </w:p>
    <w:p>
      <w:r>
        <w:t>Les frais de la procédure de recours doivent être mis à la charge de la recourante, qui succombe (art. 106 al. 1 CPC). Ils comprennent les frais judiciaires, fixés forfaitairement à CHF 150.- (art. 95 al. 2 let. b CPC). L’intimé n’ayant pas été invité à se déterminer et n'ayant dès lors pas requis de dépens au sens de l'art. 95 al. 3 CPC, il n'en sera pas alloué. Le Président arrête: I. Le recours est irrecevable. II. Les frais de la procédure de recours sont mis à la charge de A.________. Pour la procédure de recours, les frais judiciaires sont fixés globalement à CHF 150.-.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janvier 2016/pic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