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229 vom 11. Januar 2016</w:t>
      </w:r>
    </w:p>
    <w:p>
      <w:r>
        <w:t>FR Kantonsgericht, 2016-01-11, FR</w:t>
      </w:r>
    </w:p>
    <w:p>
      <w:r>
        <w:rPr>
          <w:b/>
        </w:rPr>
        <w:t xml:space="preserve">Quelle: </w:t>
      </w:r>
      <w:r>
        <w:t>https://mcp.opencaselaw.ch/entscheid/fr_gerichte_102_2015_229</w:t>
      </w:r>
    </w:p>
    <w:p>
      <w:r>
        <w:t>FR: FR_GERICHTE 102 2015 229 du 11 janvier 2016</w:t>
      </w:r>
    </w:p>
    <w:p>
      <w:r>
        <w:t>IT: FR_GERICHTE 102 2015 229 del 11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CPC). b) La procédure de mainlevée étant sommaire, le délai de recours est de dix jours à compter de la notification (art. 251 let. a et 321 al. 2 CPC). Selon la jurisprudence, l’art. 48 al. 3 LTF, aux termes duquel le délai est réputé observé si le mémoire est adressé en temps utile à l’autorité précédente ou à une autorité fédérale ou cantonale incompétente, vaut comme principe général de procédure et est applicable aux voies de droit du CPC (ATF 140 III 636 consid. 3.5 à 3.7). En l’espèce, la décision querellée a été notifiée à la recourante le 1er octobre 2015, si bien que le recours, déposé le 9 octobre 2015 au Tribunal civil de l’arrondissement de la Gruyère, l’a été en temps utile. c) La cognition de la Cour d’appel est pleine et entière en droit ; s’agissant des faits, elle est en revanche limitée à leur constatation manifestement inexacte (art. 320 let. b CPC). d) La valeur litigieuse est de CHF 1'351.30. e) En application de l’art. 327 al. 2 CPC, la Cour d’appel peut statuer sur pièces, sans tenir audience.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2e éd. 2010, no 2516). L’impossibilité d’invoquer des faits nouveaux est totale : elle englobe aussi bien les vrais que les pseudos nova, même dans les procédures soumises à la maxime inquisitoire (FREIBURGHAUS/AFHELD, in Kommentar zur schweizerischen Zivilprozessordnung, 2e éd. 2013, art. 326 N. 3).</w:t>
      </w:r>
    </w:p>
    <w:p>
      <w:r>
        <w:t>Tribunal cantonal TC Page 3 de 5 En l’espèce, la recourante produit pour la première fois devant la Cour le contrat d’entreprise du 2 avril 2014, l’offre no 13255 du 25 mars 2014 et la facture no 13222 du 3 mars 2015. Ces moyens étant nouveaux, ils sont irrecevables.</w:t>
      </w:r>
    </w:p>
    <w:p>
      <w:r>
        <w:rPr>
          <w:b/>
        </w:rPr>
        <w:t>E. 2</w:t>
      </w:r>
    </w:p>
    <w:p>
      <w:r>
        <w:t>La recourante soutient implicitement que, au vu des pièces produites, sa requête de mainlevée doit être admise. 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Cela signifie que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(arrêt TF 5A_246/2012 du 17 avril 2013 et les références citées). L’exactitude des faits énoncés dans la reconnaissance de dette et l’authenticité de la signature du débiteur sont présumées (CR LP-SCHMIDT, art. 82 n. 28).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et la référence citée). b) En l’espèce, la recourante a produit une offre no 13260 du 31 mars 2014, signée d'une seule signature illisible pour un montant de CHF 6'756.50 et des factures nos 13277 du 12 juin 2015, 13075 du 26 mars 2015 et 13176 du 7 novembre 2015 pour des montants de respectivement CHF 1'351.30, CHF 11'600.- et CHF 2'900.-. Il ressort des avis de crédit d’UBS SA, également produits par la recourante, que, les 16 mai 2014 et 2 décembre 2014, l’intimée a versé des montants de respectivement CHF 11'600.- et CHF 2'900.- à la recourante. Il convient d’examiner si l’ensemble de pièces produites constitue une reconnaissance de dette au sens de l’art. 82 al. 1 LP. Il est admis par les parties que l'offre n'est pas signée par F.________ ou par G.________, seules personnes pouvant engager la société par leur signature individuelle. Elle ne saurait donc en soi constituer une reconnaissance de dette. Les paiements effectués ainsi que les deux factures correspondantes concernent un autre bâtiment et correspondent à une autre offre, à savoir l'offre no 13025. Certes la recourante a mentionné l'existence d'un contrat qui contiendrait les deux offres et qui permettrait de faire des liens entre elles, mais cette pièce n'a pas été produite en première instance dans le cadre de cette procédure et partant ne saurait être d'un</w:t>
      </w:r>
    </w:p>
    <w:p>
      <w:r>
        <w:t>Tribunal cantonal TC Page 4 de 5 quelconque appui en faveur de la thèse de la recourante. La facture n’étant, quant à elle, pas signée, elle ne constitue pas non plus une reconnaissance de dette. Finalement, la recourante ne saurait tirer argument du fait que, dans le cadre d'une autre procédure, la mainlevée de l'opposition concernant un autre commandement de payer a été prononcée alors que la créance parallèle se fondait sur la même offre, les faits allégués et les pièces produites n'étant pas identiques dans les deux procédures. Par conséquent, c'est à juste titre que la Présidente a retenu, sans arbitraire, que la recourante n’est pas au bénéfice d’un titre de mainlevée provisoire. Il s’ensuit le rejet du recours.</w:t>
      </w:r>
    </w:p>
    <w:p>
      <w:r>
        <w:rPr>
          <w:b/>
        </w:rPr>
        <w:t>E. 3</w:t>
      </w:r>
    </w:p>
    <w:p>
      <w:r>
        <w:t>a) Les frais de la procédure de recours sont mis à la charge de la recourante, qui succombe (art. 106 al. 1 CPC). Ils comprennent les frais judiciaires, fixés forfaitairement à CHF 150.- (art. 48 et 61 al. 1 de l’ordonnance du 23 septembre 1996 sur les émoluments perçus en application de la loi fédérale sur la poursuite pour dettes et la faillite [OELP ; RS 281.35]). Ce montant sera prélevé sur l’avance de frais effectuée par la recourante. b) Les dépens seront fixés de manière globale (art. 64 al. 1 let. e et 68 al. 4 du Règlement du 30 novembre 2010 sur la justice [RJ ; RSF 130.11]). Par conséquent, l’indemnité due à l’intimée à titre de dépens pour la procédure de recours est fixée à CHF 250.-, TVA en sus par CHF 20.- (8% de CHF 250.-). (dispositif page suivante)</w:t>
      </w:r>
    </w:p>
    <w:p>
      <w:r>
        <w:t>Tribunal cantonal TC Page 5 de 5 la Cour arrête: I. Le recours est rejeté. II. Les frais de la procédure de recours sont mis à la charge de A.________ SA. Les frais judiciaires dus à l’Etat pour la procédure de recours sont fixés à CHF 150.- (émolument forfaitaire). Les dépens de B.________ SA, à la charge de A.________ SA, sont fixés de manière globale à CHF 250.-, TVA en sus par CHF 20.-.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2016/ema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