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228 vom 2. November 2015</w:t>
      </w:r>
    </w:p>
    <w:p>
      <w:r>
        <w:t>FR Kantonsgericht, 2015-11-02, FR</w:t>
      </w:r>
    </w:p>
    <w:p>
      <w:r>
        <w:rPr>
          <w:b/>
        </w:rPr>
        <w:t xml:space="preserve">Quelle: </w:t>
      </w:r>
      <w:r>
        <w:t>https://mcp.opencaselaw.ch/entscheid/fr_gerichte_102_2015_228</w:t>
      </w:r>
    </w:p>
    <w:p>
      <w:r>
        <w:t>FR: FR_GERICHTE 102 2015 228 du 2 novembre 2015</w:t>
      </w:r>
    </w:p>
    <w:p>
      <w:r>
        <w:t>IT: FR_GERICHTE 102 2015 228 del 2 novembre 2015</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manifestement respecté. La Cour statue sans débats (art. 327 al. 2 CPC). La cognition de la Cour d’appel est pleine et entière en droit ; s’agissant des faits, elle est limitée à leur constatation manifestement inexacte (art. 320 CPC). b) La valeur litigieuse est de CHF 108'822.05 (art. 51 al. 1 let. a LTF) c)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(F. HOHL, Procédure civile, Tome II, Berne 2010, n° 2516). L’impossibilité d’invoquer des faits nouveaux est totale: elle englobe aussi bien les vrais que les pseudo-nova, même dans les procédures soumises à la maxime inquisitoire (FREIBURGHAUS/AFHELDT IN SUTTER- SOMM/HASENBÖHLER/LEUENBERGER, Kommentar zur schweizerischen Zivilprozessordnung, Zurich/ Bâle/Genève 2013, art. 326 N 4). En l’espèce, le recourant a produit pour la première fois, à ce stade de la procédure seulement, soit tardivement au regard de la disposition précitée, un certain nombre de documents, parmi lesquels « un contrat de vente d’actions », qui sont ainsi irrecevables. Il n’en sera dès lors pas tenu compte. En tout état de cause, les documents en question n’étaient pas propres à influer sur le sort du recours.</w:t>
      </w:r>
    </w:p>
    <w:p>
      <w:r>
        <w:rPr>
          <w:b/>
        </w:rPr>
        <w:t>E. 2</w:t>
      </w:r>
    </w:p>
    <w:p>
      <w:r>
        <w:t>Dans ce que l’on peut qualifier d’ébauche de motivation, le recourant, qui a agi seul, soutient, tout comme en première instance déjà, qu’il n’est pas le débiteur du montant déduit en poursuite par la poursuivante, dès lors qu’il n’est plus le propriétaire de la société D.________ SA et compte tenu du fait que les actifs et les passifs de cette société ont été repris par un nouvel actionnaire en date du 30 avril 2014.</w:t>
      </w:r>
    </w:p>
    <w:p>
      <w:r>
        <w:t>Tribunal cantonal TC Page 3 de 4 a)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2ème éd., 2010, art. 80 N 102 ; HANSJÖRG PETER, La mainlevée de l’opposition, in Rechtsöffnung und Zivilprozess - Prozessuale Fragen rund um das Rechtsöffnungsverfahren unter der schweizerischen ZPO, Entwicklungen in der Rechtsprechung zum provisorischen und definitiven Rechtsöffnungstitel, mit einem besonderen Blick auf ausländische definitive Rechtsöffnungstitel, 2014, p. 12).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b) En l’espèce, tout en étant rappelé que le juge de la mainlevée n’a pas à examiner le bien-fondé matériel de la créance déduite en poursuite – ni de l'arrêt qui la fixe – et dès lors que le seul et unique grief soulevé par le recourant a trait au fond du litige, sa critique semble irrecevable. Ceci étant, cette question peut souffrir de demeurer ouverte dans la mesure où le recours doit de toute manière être rejeté pour les motifs qui vont suivre. Dans le cas présent, la « décision de réparation de dommage » du 3 février 2015 rendue par B.________ constitue indubitablement une décision au sens de l'art. 80 al. 2 ch. 2 LP. En outre, force est de constater que la décision litigieuse comporte une motivation – eu égard au fait qu’elle a été adressée au débiteur personnellement notamment –, ainsi que l’indication des voies de droit, de sorte qu’elle ne laisse planer aucun doute sur sa nature. Pour le surplus, dans la mesure où le débiteur n’allègue pas, ni a fortiori ne démontre, qu’il a valablement formé opposition à cette décision, celle-ci est exécutoire. Ainsi, dès lors qu'en l'espèce la créancière avait produit un titre exécutoire et que le débiteur ne soutenait pas avoir payé sa dette (art. 81 al. 1 LP), la mainlevée définitive devait être prononcée. Manifestement mal fondé, le recours doit être rejeté dans la mesure où il est recevable.</w:t>
      </w:r>
    </w:p>
    <w:p>
      <w:r>
        <w:rPr>
          <w:b/>
        </w:rPr>
        <w:t>E. 4</w:t>
      </w:r>
    </w:p>
    <w:p>
      <w:r>
        <w:t>a) Les frais de la procédure de recours doivent être mis à la charge de A.________, qui succombe (art. 106 al. 1 CPC). Ils comprennent les frais judiciaires, fixés forfaitairement à CHF 200.- (art. 48 et 61 al. 1 OELP). b) Dans la mesure où l’intimée n’a pas été invitée à se déterminer, conformément à l’art. 322 al. 1 CPC, il ne lui sera pas alloué de dépens.</w:t>
      </w:r>
    </w:p>
    <w:p>
      <w:r>
        <w:t>Tribunal cantonal TC Page 4 de 4 la Cour arrête: I. Le recours est rejeté dans la mesure où il est recevable. II. Les frais de la procédure de recours sont mis à la charge de A.________. Pour la procédure de recours, les frais judiciaires sont fixés forfaitairement à CHF 200.-.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novembre 2015/lda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