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213 vom 30. November 2015</w:t>
      </w:r>
    </w:p>
    <w:p>
      <w:r>
        <w:t>FR Kantonsgericht, 2015-11-30, DE</w:t>
      </w:r>
    </w:p>
    <w:p>
      <w:r>
        <w:rPr>
          <w:b/>
        </w:rPr>
        <w:t xml:space="preserve">Quelle: </w:t>
      </w:r>
      <w:r>
        <w:t>https://mcp.opencaselaw.ch/entscheid/fr_gerichte_102_2015_213</w:t>
      </w:r>
    </w:p>
    <w:p>
      <w:r>
        <w:t>FR: FR_GERICHTE 102 2015 213 du 30 novembre 2015</w:t>
      </w:r>
    </w:p>
    <w:p>
      <w:r>
        <w:t>IT: FR_GERICHTE 102 2015 213 del 30 novembre 2015</w:t>
      </w:r>
    </w:p>
    <w:p>
      <w:pPr>
        <w:pStyle w:val="Heading2"/>
      </w:pPr>
      <w:r>
        <w:t>Regeste</w:t>
      </w:r>
    </w:p>
    <w:p>
      <w:r>
        <w:t>Entscheid des II. Zivilappellationshofs des Kantonsgerichts | Betreibung auf Konkurs (Art. 159-196 SchKG)</w:t>
      </w:r>
    </w:p>
    <w:p>
      <w:pPr>
        <w:pStyle w:val="Heading2"/>
      </w:pPr>
      <w:r>
        <w:t>Erwägungen</w:t>
      </w:r>
    </w:p>
    <w:p>
      <w:r>
        <w:rPr>
          <w:b/>
        </w:rPr>
        <w:t>E. 1</w:t>
      </w:r>
    </w:p>
    <w:p>
      <w:r>
        <w:t>Der Entscheid des Konkursgerichts kann innert zehn Tagen nach dessen Zustellung mit Beschwerde gemäss ZPO angefochten werden (Art. 174 Abs. 1 SchKG). Gemäss Art. 138 Abs. 1 ZPO erfolgt die Zustellung von Entscheiden durch eingeschriebene Postsendung oder auf andere Weise gegen Empfangsbestätigung. Die Zustellung gilt bei einer eingeschriebenen nicht abgeholten Postsendung am 7. Tag nach dem erfolglosen Zustellungsversuch als erfolgt, wenn die Person mit einer Zustellung rechnen musste (Art. 138 Abs. 3 lit. a). Diese Fiktion tritt bereits mit dem ersten erfolglosen Zustellversuch ein. Die siebentägige Abholfrist beginnt mit dem Tag nach Ausstellung der Abholungseinladung zu laufen und endet am siebten Tag nach dem erfolglosen Zustellungsversuch, d.h. der Tag der erfolglosen Zustellung wird nicht mitgezählt (BGE 134 V 49 E 4). Die Zustellung gilt auch dann als erfolgt, wenn dieser Tag auf einen Samstag, Sonntag oder anerkannten Feiertag fällt (Urteil BGer 5a_98/2011 vom 3. März 2011 E. 2.2.2). Der angefochtene Entscheid des Gerichtspräsidenten des Seebezirks vom 3. September 2015 wurde der Beschwerdeführerin gleichentags per Gerichtsurkunde zugestellt und am 4. September 2015 zur Abholung avisiert; die Postsendung wurde nicht abgeholt. Aufgrund des hängigen Konkursverfahrens musste die Beschwerdeführerin mit der Zustellung des Konkursentscheids rechnen. Die Zustellung gilt daher am siebten Tag nach dem erfolglosen Zustellversuch, mithin am 11. September 2015 als erfolgt (Art. 138 Abs. 3 lit. a ZPO). Folglich lief die Frist am Montag,</w:t>
      </w:r>
    </w:p>
    <w:p>
      <w:r>
        <w:t>Kantonsgericht KG Seite 3 von 4 21. September 2015, aus. Die am 22. September 2012 eingereichte Beschwerde erfolgte verspätet. Auf die Beschwerde ist somit nicht einzutreten.</w:t>
      </w:r>
    </w:p>
    <w:p>
      <w:r>
        <w:rPr>
          <w:b/>
        </w:rPr>
        <w:t>E. 2</w:t>
      </w:r>
    </w:p>
    <w:p>
      <w:r>
        <w:t>Wird die Konkurseröffnung angefochten und im Beschwerdeverfahren die aufschiebende Wirkung erteilt, gilt das Datum des Rechtsmittelentscheides als Zeitpunkt der Konkurseröffnung (BGE 129 III 100).</w:t>
      </w:r>
    </w:p>
    <w:p>
      <w:r>
        <w:rPr>
          <w:b/>
        </w:rPr>
        <w:t>E. 3</w:t>
      </w:r>
    </w:p>
    <w:p>
      <w:r>
        <w:t>Die Beschwerdeführerin wird darauf hingewiesen, dass sie ihren Gläubigern einen Nachlassvertrag vorschlagen kann und, so dieser zustande kommt, die Konkursverwaltung beim Konkursgericht den Widerruf des Konkurses beantragen wird (Art. 332 SchKG).</w:t>
      </w:r>
    </w:p>
    <w:p>
      <w:r>
        <w:rPr>
          <w:b/>
        </w:rPr>
        <w:t>E. 4</w:t>
      </w:r>
    </w:p>
    <w:p>
      <w:r>
        <w:t>Die Kosten des Beschwerdeverfahrens werden der unterliegenden Beschwerdeführerin auferlegt. Die Gerichtsgebühr ist auf pauschal CHF 500.- festzusetzen. Die Beschwerdegegner haben keine Stellungnahme eingereicht, es ist daher keine Parteientschädigung zuzusprechen. (Dispositiv auf der folgenden Seite)</w:t>
      </w:r>
    </w:p>
    <w:p>
      <w:r>
        <w:t>Kantonsgericht KG Seite 4 von 4 Der Hof erkennt: I. Auf die Beschwerde wird nicht eingetreten. Der Entscheid des Präsidenten des Zivilgerichts des Sensebezirks vom 3. September 2015 wird bestätigt und der Zeitpunkt der Konkurseröffnung angepasst. Er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