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17 vom 1. Juni 2015</w:t>
      </w:r>
    </w:p>
    <w:p>
      <w:r>
        <w:t>FR Kantonsgericht, 2015-06-01, FR</w:t>
      </w:r>
    </w:p>
    <w:p>
      <w:r>
        <w:rPr>
          <w:b/>
        </w:rPr>
        <w:t xml:space="preserve">Quelle: </w:t>
      </w:r>
      <w:r>
        <w:t>https://mcp.opencaselaw.ch/entscheid/fr_gerichte_102_2015_17</w:t>
      </w:r>
    </w:p>
    <w:p>
      <w:r>
        <w:t>FR: FR_GERICHTE 102 2015 17 du 1 juin 2015</w:t>
      </w:r>
    </w:p>
    <w:p>
      <w:r>
        <w:t>IT: FR_GERICHTE 102 2015 17 del 1 giugno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un recours contre la décision du Président est de dix jours à compter de sa notification (art. 321 al. 2 CPC), la procédure de mainlevée étant sommaire (art. 251 let. a CPC). Déposé le 19 janvier 2015, le recours respecte ce délai, la décision attaquée ayant été notifiée au recourant le 9 janvier 2015. c) La valeur litigieuse est de 3’113 francs. d) En vertu de l’art. 327 al. 2 CPC, la Cour d’appel peut statuer sur pièces, sans tenir audience. Le recours est recevable pour violation du droit ou pour constatation manifestement inexacte des faits (art. 320 let. a et b CPC). Par ailleurs, le recours doit être motivé (art. 321 al. 1 CPC), les exigences sur ce point étant à tout le moins les mêmes que pour l’appel (TF arrêt 5A_247/2013 du 15 octobre 2013 consid. 3). e)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w:t>
      </w:r>
    </w:p>
    <w:p>
      <w:r>
        <w:t>Tribunal cantonal TC Page 3 de 5 première instance (F. HOHL, Procédure civile, Tome II, 2010, N 2516). L’impossibilité d’invoquer des faits nouveaux est totale: elle englobe aussi bien les vrais que les pseudo-nova, même dans les procédures soumises à la maxime inquisitoire (FREIBURGHAUS/AFHELDT in SUTTER-SOMM/ HASENBÖHLER/LEUENBERGER, Kommentar zur schweizerischen Zivilprozessordnung, 2013, art. 326 N 4). En l’espèce, le recourant soutient pour la première fois qu’il n’aurait pas signé de reconnaissance de dette et requiert également la production de l’original de celle-ci. En outre, il allègue qu’il aurait remboursé un montant de 1'000 francs à l’intimée. Ces faits et moyens nouveaux, introduits pour la première fois au stade du recours, soit tardivement au regard de l’art. 326 al. 1 CPC, sont irrecevables. Le recourant devait en effet les invoquer déjà devant le Président, ce qu’il n’a pas fait. Le courrier du 20 novembre 2014 lui fixant un délai pour déposer une éventuelle détermination contre la requête de mainlevée était par ailleurs parfaitement clair.</w:t>
      </w:r>
    </w:p>
    <w:p>
      <w:r>
        <w:rPr>
          <w:b/>
        </w:rPr>
        <w:t>E. 2</w:t>
      </w:r>
    </w:p>
    <w:p>
      <w:r>
        <w:t>Le recourant allègue qu’il ne se souvient pas avoir signé la reconnaissance de dette et requière la production de l’original. Même recevable (supra, ch. 1e), ce grief aurait dû être rejeté.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(ATF 139 III 297 consid. 2.3.1; 132 III 480 consid. 4.1 et les arrêts cités). Une photocopie, voire un fax, est suffisant s’il n’existe aucun doute quant à l’identité du signataire (CR LP-SCHMIDT, art. 82 N 20 et jurisprudence citée). b) Il ressort clairement de la pièce produite par l’intimée au verso de sa requête de mainlevée que le recourant reconnaît devoir 3'000 francs à l’intimée. Le document a été signé par le poursuivi et comporte, bien plus, les photocopies des cartes d’identité du recourant et de l’intimée; l’identité des signataires ne pouvant dès lors être mise en doute. En outre, le recourant ne rend pas vraisemblable qu’il n’a pas signé ce document (art. 82 al. 2 LP). Enfin, la production d’une photocopie comme titre de mainlevée étant suffisante, le Président n’a, pour le moins, pas versé dans l’arbitraire en retenant que la copie de la reconnaissance de dette était satisfaisante.</w:t>
      </w:r>
    </w:p>
    <w:p>
      <w:r>
        <w:rPr>
          <w:b/>
        </w:rPr>
        <w:t>E. 3</w:t>
      </w:r>
    </w:p>
    <w:p>
      <w:r>
        <w:t>Le recourant allègue qu’il aurait déjà remboursé un montant de 1’000 francs à l’intimée. Ce grief également, même supposé recevable (supra, ch. 1e), aurait dû être rejeté. a) Aux termes de l’art. 82 al. 2 LP, le juge prononce la mainlevée si le débiteur ne rend pas immédiatement vraisemblable sa libération, à l’aide d’un titre ou de documents. Les moyens de défense du débiteur sont limités car il doit rendre immédiatement vraisemblable sa libération et ce à l’aide d’un titre, soit de documents. De simples allégations ou des manifestations tacites sont insuffisantes (CR LP-SCHMIDT, art. 82 LP N 30). En effet, les preuves produites par le débiteur poursuivi doivent rendre vraisemblable le fait libératoire (ATF 132 III 140 consid. 4.1.2). b) Or, en l’espèce, le recourant n’a produit aucune pièce rendant vraisemblable le versement de 1'000 francs à l’intimée, celui-ci étant une simple allégation. Le débiteur n’a ainsi pas</w:t>
      </w:r>
    </w:p>
    <w:p>
      <w:r>
        <w:t>Tribunal cantonal TC Page 4 de 5 rendu immédiatement vraisemblable sa libération. Ainsi, même s’il avait été recevable, ce grief aurait dû être rejeté. Par voie de conséquence, force est de constater que c’est à juste titre que le Président a admis la mainlevée provisoire s’agissant du montant de 3'000 francs indiqué sur la reconnaissance de dette.</w:t>
      </w:r>
    </w:p>
    <w:p>
      <w:r>
        <w:rPr>
          <w:b/>
        </w:rPr>
        <w:t>E. 4</w:t>
      </w:r>
    </w:p>
    <w:p>
      <w:r>
        <w:t>Le recourant conteste que les frais relatifs à la poursuite no ccc aient été mis à sa charge. Une décision de mainlevée ne revêt d’aucune autorité de chose jugée, sauf pour la poursuite en cours et à l’égard des pièces produites. Elle ne fait naître des droits que pour la poursuite concernée (ATF 100 III 48; TF arrêt 5A_427/2011 du 10 octobre 2011 consid. 2). En l’espèce, l’intimée a requis la mainlevée de l’opposition formée par A.________ au commandement de payer no ccc de l’Office des poursuites de la Gruyère pour un montant de 2'683 fr. 75 avec intérêt à</w:t>
      </w:r>
    </w:p>
    <w:p>
      <w:r>
        <w:rPr>
          <w:b/>
        </w:rPr>
        <w:t>E. 5</w:t>
      </w:r>
    </w:p>
    <w:p>
      <w:r>
        <w:t>a) La décision attaquée du 18 décembre 2014 ayant été modifiée, la Cour doit se prononcer également sur les frais de première instance (art. 318 al. 3 CPC par analogie). Le montant de 180 francs fixé par le premier juge n’a pas été remis en cause. En l’espèce, le recourant ayant eu gain de cause s’agissant de la seule répartition des frais de la procédure no eee, il succombe en grande partie. Au vu du sort du recours, il est justifié de mettre les frais judiciaires de première instance à la charge du recourant à hauteur des ¾ et de l’intimée à hauteur de ¼. Concernant les frais judiciaires de la procédure de recours, ils sont mis à la charge du recourant à hauteur des ¾ et de l’intimée à hauteur de ¼. Les frais judiciaires sont fixés à 200 francs. Ils seront perçus sur l’avance effectuée par le recourant, qui aura droit au remboursement de 50 francs par l’intimée. b) En l’absence de détermination, il n’est pas alloué de dépens.</w:t>
      </w:r>
    </w:p>
    <w:p>
      <w:r>
        <w:t>Tribunal cantonal TC Page 5 de 5 la Cour arrête: I. Le recours est partiellement admis. Partant, la décision du 18 décembre 2014 est modifiée dans la teneur suivante : « 1. La requête est partiellement admise. 2. La mainlevée provisoire de l’opposition, formée par A.________ au commandement de payer no ddd de l’Office des poursuites de la Gruyère, notifié le 10 novembre 2014, à l’instance de B.________, est prononcée à concurrence des montants suivants :  Fr. 3’000 en capital ;  Les frais de l’actuelle poursuite. 3. Les frais de justice dus à l’Etat sont mis à la charge de A.________ à hauteur des ¾ et de B.________ à hauteur de ¼. Les frais judiciaires, fixés à 180 francs, seront perçus sur l’avance effectuée par B.________, qui aura droit au remboursement de 135 francs par A.________. » II. Les frais de la procédure de recours sont mis à la charge de A.________ à hauteur des ¾ et de B.________ à hauteur de ¼. Les frais judiciaires, fixés à 200 francs, seront perçus sur l’avance effectuée par A.________, qui aura droit au remboursement de 50 francs par B.________.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juin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