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139 vom 30. Juni 2015</w:t>
      </w:r>
    </w:p>
    <w:p>
      <w:r>
        <w:t>FR Kantonsgericht, 2015-06-30, DE</w:t>
      </w:r>
    </w:p>
    <w:p>
      <w:r>
        <w:rPr>
          <w:b/>
        </w:rPr>
        <w:t xml:space="preserve">Quelle: </w:t>
      </w:r>
      <w:r>
        <w:t>https://mcp.opencaselaw.ch/entscheid/fr_gerichte_102_2015_139</w:t>
      </w:r>
    </w:p>
    <w:p>
      <w:r>
        <w:t>FR: FR_GERICHTE 102 2015 139 du 30 juin 2015</w:t>
      </w:r>
    </w:p>
    <w:p>
      <w:r>
        <w:t>IT: FR_GERICHTE 102 2015 139 del 30 giugno 2015</w:t>
      </w:r>
    </w:p>
    <w:p>
      <w:pPr>
        <w:pStyle w:val="Heading2"/>
      </w:pPr>
      <w:r>
        <w:t>Regeste</w:t>
      </w:r>
    </w:p>
    <w:p>
      <w:r>
        <w:t>Entscheid des II. Zivilappellationshofs des Kantonsgerichts | Rechtsöffnung</w:t>
      </w:r>
    </w:p>
    <w:p>
      <w:pPr>
        <w:pStyle w:val="Heading2"/>
      </w:pPr>
      <w:r>
        <w:t>Erwägungen</w:t>
      </w:r>
    </w:p>
    <w:p>
      <w:r>
        <w:rPr>
          <w:b/>
        </w:rPr>
        <w:t>E. 1</w:t>
      </w:r>
    </w:p>
    <w:p>
      <w:r>
        <w:t>a) Mangels Berufungsfähigkeit unterliegt der angefochtene Rechtsöffnungsentscheid vom 11. Mai 2015 der Beschwerde (Art. 309 lit. b Ziff. 3 i.V.m. 319 lit. a ZPO). b) Als Rechtsmittelinstanz für das erstinstanzliche Gericht am Betreibungsort ist der II. Zivilappellationshof in funktioneller und örtlicher Hinsicht zuständig (Art. 84 Abs. 1 i.V.m. Art. 46 Abs. 1 SchKG und Art. 46 ZPO e contrario; Art. 321 Abs. 1 ZPO i.V.m. Art. 52 JG, Art. 17 Abs. 1 lit. c Reglement für das Kantonsgericht vom 22. November 2012). c) Gemäss Art. 251 lit. a ZPO werden Entscheide in Rechtsöffnungssachen im summarischen Verfahren gefällt. Die Beschwerdefrist beträgt im summarischen Verfahren 10 Tage (Art. 321 Abs. 2 ZPO). Der angefochtene Entscheid wurde dem Beschwerdeführer am 13. Mai 2015 zugestellt (act. 7). Die am 21. Mai 2015 der Post übergebene Beschwerde erfolgte somit fristgerecht. d) Der Streitwert beträgt CHF 18‘000.00. Zinsen, Betreibungskosten, Gerichtskosten und Parteientschädigung werden nicht berücksichtigt (Art. 91 Abs. 1 S. 2 ZPO). e) Gestützt auf Art. 322 Abs. 1 ZPO ist von der Zustellung der Beschwerde an die Beschwerdegegnerin zur Stellungnahme abzusehen. Über eine Beschwerde kann auf Grund der Akten entschieden werden (Art. 327 Abs. 2 ZPO).</w:t>
      </w:r>
    </w:p>
    <w:p>
      <w:r>
        <w:rPr>
          <w:b/>
        </w:rPr>
        <w:t>E. 2</w:t>
      </w:r>
    </w:p>
    <w:p>
      <w:r>
        <w:t>a) Die Beschwerde hat eine Begründung aufzuweisen (Art. 321 Abs. 1 ZPO). Aus dieser muss ersichtlich sein, worauf der Beschwerdeführer seine Legitimation stützt, inwieweit er beschwert ist, auf welchen Beschwerdegrund er sich beruft und an welchen Mängeln der angefochtene Entscheid leidet. Das Vorliegen einer Begründung bildet Prozessvoraussetzung.</w:t>
      </w:r>
    </w:p>
    <w:p>
      <w:r>
        <w:t>Kantonsgericht KG Seite 3 von 4 Mit der Beschwerde kann einerseits eine unrichtige Rechtsanwendung gerügt werden (Art. 320 lit. a ZPO). Diesbezüglich entscheidet das Kantonsgericht mit voller Kognition. Andererseits kommt als Beschwerdegrund die offensichtlich unrichtige Feststellung des Sachverhalts in Frage (Art. 320 lit. b ZPO). In tatsächlicher Hinsicht ist somit lediglich eine Willkürprüfung vorgesehen. Beruht eine tatsächliche Feststellung allerdings auf einer unrichtigen Anwendung der einschlägigen beweisrechtlichen Normen, ist die Rechtsmittelinstanz in ihrer Kognition nicht eingeschränkt. b) Der Beschwerdeführer bringt vor, die Rechtsöffnung sei abzuweisen, da der ihr zugrundeliegende Entscheid fehlerhaft sei. c) Die Vorinstanz hat festgehalten, die in Betreibung gesetzte Forderung beruhe auf dem seit dem 28. November 2014 vollstreckbaren Entscheid der Einzelrichterin des Kantonsgerichts Waadt, wonach der Beschwerdeführer verpflichtet sei, monatlich CHF 2'250.00 (gemäss act. 2/5 seit dem 1. August 2015) an den Unterhalt der Beschwerdegegnerin zu bezahlen. Der Beschwerdeführer setzt sich mit dem Rechtsöffnungsentscheid vom 11. Mai 2015 nicht auseinander, sondern kritisiert den Entscheid der Waadtländer Justiz, die für die Berechnung der Unterhaltsbeiträge auf falsche Zahlen abgestellt habe und bezeichnet das Vorgehen als Justizmanipulation. Der Beschwerdeführer verkennt, dass das Verfahren betreffend definitive Rechtsöffnung Bestandteil des Vollstreckungsverfahrens ist. Seine Aufgabe ist die Abklärung der Vollstreckbarkeit eines gerichtlichen Entscheids und die Prüfung, ob die Forderung nach Entscheidfällung aus materiellrechtlichen Gründen untergegangen ist. Die Forderung stützt sich auf den seit dem 28. November 2014 vollstreckbaren Entscheid der Einzelrichterin des Kantonsgerichts Waadt; das Vorgehen der Vorinstanz ist nicht zu beanstanden. Gemäss Art. 80 Abs. 1 SchKG kann der Gläubiger beim Richter die Aufhebung des Rechtsvorschlags resp. die definitive Rechtsöffnung verlangen, wenn die Forderung auf einem vollstreckbaren Urteil einer Behörde des Bundes oder des Kantons beruht. Beruht die Forderung auf einem vollstreckbaren Entscheid, so wird die definitive Rechtsöffnung erteilt, wenn nicht der Betriebene durch Urkunden beweist, dass die Schuld seit Erlass des Entscheids getilgt oder gestundet worden ist, oder die Verjährung anruft (Art. 81 Abs. 1 SchKG). Derartige Einwände hat der Beschwerdeführer nicht erhoben. Die Beschwerde ist somit abzuweisen, soweit darauf eingetreten werden kann. Mit dem Entscheid in der Hauptsache wird das Gesuch um aufschiebende Wirkung gegenstandslos.</w:t>
      </w:r>
    </w:p>
    <w:p>
      <w:r>
        <w:rPr>
          <w:b/>
        </w:rPr>
        <w:t>E. 3</w:t>
      </w:r>
    </w:p>
    <w:p>
      <w:r>
        <w:t>a) Die Prozesskosten werden der unterliegenden Partei auferlegt (Art. 106 Abs. 1 ZPO). Als solche gilt dem Ausgang des Verfahrens entsprechend der Beschwerdeführer. Die Gerichtskosten für das Beschwerdeverfahren sind namentlich in Berücksichtigung der in Betreibung gesetzten Summe auf pauschal CHF 200.00 festzusetzen (Art. 48 und 61 Abs. 1 GebV SchKG). b) Vernehmlassungen wurden keine eingeholt, es ist somit keine Parteientschädigung auszurichten.</w:t>
      </w:r>
    </w:p>
    <w:p>
      <w:r>
        <w:t>Kantonsgericht KG Seite 4 von 4 Der Hof erkennt: I. Die Beschwerde wird abgewiesen, soweit darauf einzutreten war. Das Gesuch um aufschiebende Wirkung ist gegenstandlos und wird abgeschrieben. II. Die Prozesskosten des Beschwerdeverfahrens werden A.________ auferlegt. Die Gerichtskosten des Beschwerdeverfahrens werden auf pauschal CHF 200.00 festgesetzt. Es wird keine Parteienentschädigung ausgerichtet. III.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30. Juni 2015/aur Präsident Gerichtsschreiberin-Berichterstatterin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