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137 vom 1. Juli 2015</w:t>
      </w:r>
    </w:p>
    <w:p>
      <w:r>
        <w:t>FR Kantonsgericht, 2015-07-01, FR</w:t>
      </w:r>
    </w:p>
    <w:p>
      <w:r>
        <w:rPr>
          <w:b/>
        </w:rPr>
        <w:t xml:space="preserve">Quelle: </w:t>
      </w:r>
      <w:r>
        <w:t>https://mcp.opencaselaw.ch/entscheid/fr_gerichte_102_2015_137</w:t>
      </w:r>
    </w:p>
    <w:p>
      <w:r>
        <w:t>FR: FR_GERICHTE 102 2015 137 du 1 juillet 2015</w:t>
      </w:r>
    </w:p>
    <w:p>
      <w:r>
        <w:t>IT: FR_GERICHTE 102 2015 137 del 1 luglio 2015</w:t>
      </w:r>
    </w:p>
    <w:p>
      <w:pPr>
        <w:pStyle w:val="Heading2"/>
      </w:pPr>
      <w:r>
        <w:t>Regeste</w:t>
      </w:r>
    </w:p>
    <w:p>
      <w:r>
        <w:t>Arrêt de la IIe Cour d'appel civil du Tribunal cantonal | Rechtsöffnung</w:t>
      </w:r>
    </w:p>
    <w:p>
      <w:pPr>
        <w:pStyle w:val="Heading2"/>
      </w:pPr>
      <w:r>
        <w:t>Erwägungen</w:t>
      </w:r>
    </w:p>
    <w:p>
      <w:r>
        <w:rPr>
          <w:b/>
        </w:rPr>
        <w:t>E. 1</w:t>
      </w:r>
    </w:p>
    <w:p>
      <w:r>
        <w:t>a) La voie du recours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Déposé à la poste le 1er juin 2015, le recours respecte ce délai, la décision motivée attaquée ayant été notifiée à la recourante le 1er juin 2015. La cognition de la Cour d’appel est pleine et entière en droit; s’agissant des faits, elle est en revanche limitée à leur constatation manifestement inexacte (art. 320 CPC). Par ailleurs, le recours doit être motivé (art. 321 al. 1 CPC), les exigences sur ce point étant à tout le moins les mêmes que pour l’appel (TF arrêt 5A_247/2013 du 15 octobre 2013 consid. 3). Conformément à l'art. 326 al. 1 CPC, les conclusions, les allégations de faits et les preuves nouvelles sont irrecevables. c) En application de l’art. 327 al. 2 CPC, la Cour d’appel peut statuer sur pièces, sans tenir audience. Au vu des pièces figurant au dossier, la tenue des débats n’est pas nécessaire en l’espèce. d) La valeur litigieuse est de 3'416 fr. 05.</w:t>
      </w:r>
    </w:p>
    <w:p>
      <w:r>
        <w:rPr>
          <w:b/>
        </w:rPr>
        <w:t>E. 2</w:t>
      </w:r>
    </w:p>
    <w:p>
      <w:r>
        <w:t>a)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w:t>
      </w:r>
    </w:p>
    <w:p>
      <w:r>
        <w:t>Tribunal cantonal TC Page 3 de 4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132 III 480 consid. 4.1).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(ATF 132 III 140 consid. 4.1.1; 58 I 363 consid. 2).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b) Au vu de la jurisprudence précitée et contrairement à ce que soutient la recourante, la signature de l’acte est nécessaire pour que celui-ci puisse constituer une reconnaissance de dette au sens de l’art. 82 al. 1 LP. Ainsi, c’est à bon droit que la Présidente a considéré que les factures produites par la requérante relatives à des travaux effectués pour l’intimée n’étaient pas signées de telle sorte qu’elles ne valaient pas titre de mainlevée. En outre, la recourante décrit les circonstances qui l’ont amenée à produire la facture contestée et tente de prouver, à l’appui de ses annexes, la validité de cette créance. Or au vu de ce qui précède, c’est à juste titre que la Présidente n’a pas examiné l’existence de cette créance et a uniquement constaté l’absence de titre de mainlevée provisoire. En conséquence, c’est à juste titre que la Présidente a rejeté la mainlevée provisoire de l’opposition formée par l’intimée de telle sorte que le recours, manifestement mal fondé, doit être rejeté, sans qu’il soit nécessaire de procéder à un échange d’écriture (art. 322 CPC).</w:t>
      </w:r>
    </w:p>
    <w:p>
      <w:r>
        <w:rPr>
          <w:b/>
        </w:rPr>
        <w:t>E. 3</w:t>
      </w:r>
    </w:p>
    <w:p>
      <w:r>
        <w:t>a) Les frais judiciaires, fixés globalement à 150 francs, sont mis à la charge de la recourante, qui succombe (art. 106 al. 1 CPC; art. 48 et 61 al. 1 OELP). b) Dans la mesure où l’intimée n’a pas été invitée à se déterminer, conformément à l’art. 322 al. 1 CPC, il ne lui sera pas alloué de dépens. (dispositif à la page suivante)</w:t>
      </w:r>
    </w:p>
    <w:p>
      <w:r>
        <w:t>Tribunal cantonal TC Page 4 de 4 la Cour arrête: I. Le recours est rejeté. Partant, la décision rendue par la Présidente du Tribunal civil de l’arrondissement de la Sarine le 26 mai 2015 est confirmée. II. Les frais de la procédure de recours sont mis à la charge de A.________ GmbH. Pour la procédure de recours, les frais judiciaires sont fixés globalement à 150 francs et seront prélevés sur l’avance de frais versée par A.________ GmbH.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juillet 2015/vba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