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17 vom 16. Dezember 2024</w:t>
      </w:r>
    </w:p>
    <w:p>
      <w:r>
        <w:t>FR Kantonsgericht, 2024-12-16, DE</w:t>
      </w:r>
    </w:p>
    <w:p>
      <w:r>
        <w:rPr>
          <w:b/>
        </w:rPr>
        <w:t xml:space="preserve">Quelle: </w:t>
      </w:r>
      <w:r>
        <w:t>https://mcp.opencaselaw.ch/entscheid/fr_gerichte_101_2024_17</w:t>
      </w:r>
    </w:p>
    <w:p>
      <w:r>
        <w:t>FR: FR_GERICHTE 101 2024 17 du 16 décembre 2024</w:t>
      </w:r>
    </w:p>
    <w:p>
      <w:r>
        <w:t>IT: FR_GERICHTE 101 2024 17 del 16 dicembre 2024</w:t>
      </w:r>
    </w:p>
    <w:p>
      <w:pPr>
        <w:pStyle w:val="Heading2"/>
      </w:pPr>
      <w:r>
        <w:t>Regeste</w:t>
      </w:r>
    </w:p>
    <w:p>
      <w:r>
        <w:t>Arrêt de la Ie Cour d'appel civil du Tribunal cantonal | Eheschutzmassnahmen</w:t>
      </w:r>
    </w:p>
    <w:p>
      <w:pPr>
        <w:pStyle w:val="Heading2"/>
      </w:pPr>
      <w:r>
        <w:t>Erwägungen</w:t>
      </w:r>
    </w:p>
    <w:p>
      <w:r>
        <w:rPr>
          <w:b/>
        </w:rPr>
        <w:t>E. 31</w:t>
      </w:r>
    </w:p>
    <w:p>
      <w:r>
        <w:t>décembre 2023 puis de CHF 162.- jusqu’au 31 octobre 2024, à charge du père aux conditions de l’art. 286a CC. Par la suite, il est couvert. Tribunal cantonal TC Page 17 de 17 Les pensions précitées sont payables d'avance le 1er de chaque mois. Elles sont indexées sur l'indice suisse des prix à la consommation valable au jour de l'entrée en force de la présente décision. Les contributions sont réadaptées automatiquement le 1er janvier de chaque année sur la base de I'IPC de fin novembre de l'année précédente, la première fois le 1er janvier 2026, le montant de la pension étant arrondi au franc supérieur. Si le revenu du débirentier n'est pas ou pas totalement indexé, l'indexation est supprimée ou réduite en proportion. » II. Sous réserve de l’assistance judiciaire accordée aux parties, chacune d’elles supporte ses propres dépens d’appel et la moitié des frais judiciaires dus à l’État,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16 décembre 2024/cfa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