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 vom 7. März 2023</w:t>
      </w:r>
    </w:p>
    <w:p>
      <w:r>
        <w:t>FR Kantonsgericht, 2023-03-07, FR</w:t>
      </w:r>
    </w:p>
    <w:p>
      <w:r>
        <w:rPr>
          <w:b/>
        </w:rPr>
        <w:t xml:space="preserve">Quelle: </w:t>
      </w:r>
      <w:r>
        <w:t>https://mcp.opencaselaw.ch/entscheid/fr_gerichte_101_2023_9</w:t>
      </w:r>
    </w:p>
    <w:p>
      <w:r>
        <w:t>FR: FR_GERICHTE 101 2023 9 du 7 mars 2023</w:t>
      </w:r>
    </w:p>
    <w:p>
      <w:r>
        <w:t>IT: FR_GERICHTE 101 2023 9 del 7 marzo 2023</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dix jours en l’espèce et a été respecté, la décision querellée ayant été notifiée le 4 janvier 2023 et le recours déposé le lundi 16 janvier 2023. Il respecte en outre les exigences de forme et de motivation, si bien qu'il est recevable.</w:t>
      </w:r>
    </w:p>
    <w:p>
      <w:r>
        <w:rPr>
          <w:b/>
        </w:rPr>
        <w:t>E. 1.2</w:t>
      </w:r>
    </w:p>
    <w:p>
      <w:r>
        <w:t>L’avocat d'office dispose, à titre personnel, d’un droit de recours au sujet de la rémunération équitable accordée (arrêt TF 5D_62/2016 du 1er juillet 2016 consid. 1.3).</w:t>
      </w:r>
    </w:p>
    <w:p>
      <w:r>
        <w:rPr>
          <w:b/>
        </w:rPr>
        <w:t>E. 1.3</w:t>
      </w:r>
    </w:p>
    <w:p>
      <w:r>
        <w:t>L’instance de recours peut statuer sur pièces (art. 327 al. 2 CPC). Seules la violation du droit et la constatation manifestement inexacte des faits peuvent être invoquées (art. 320 CPC).</w:t>
      </w:r>
    </w:p>
    <w:p>
      <w:r>
        <w:t>Tribunal cantonal TC Page 3 de 5</w:t>
      </w:r>
    </w:p>
    <w:p>
      <w:r>
        <w:rPr>
          <w:b/>
        </w:rPr>
        <w:t>E. 1.4</w:t>
      </w:r>
    </w:p>
    <w:p>
      <w:r>
        <w:t>La valeur litigieuse au sens de l'art. 51 al. 1 let. a LTF est de CHF 1'152.-, soit la différence entre l’indemnité demandée en recours et celle qui a été octroyée par le premier juge (CHF 4'695.60 - CHF 3'543.60).</w:t>
      </w:r>
    </w:p>
    <w:p>
      <w:r>
        <w:rPr>
          <w:b/>
        </w:rPr>
        <w:t>E. 2</w:t>
      </w:r>
    </w:p>
    <w:p>
      <w:r>
        <w:t>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citées).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TF 5A_10/2018 du 17 avril 2018 consid. 3.2.2.3 et les références citées). L'avocat d'office ne saurait ainsi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Pour le canton de Fribourg, l’art. 57 al. 1 du règlement du 30 novembre 2010 sur la justice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(ATF 122 I 1 consid. 3a ; arrêt TF 9C_735/2011 du 22 juin 2012 consid. 3). L’art. 57 al. 2 RJ précise que, en cas de fixation sur la base d'une liste de frais détaillée, l'indemnité horaire est de CHF 180.-. Si l'affaire a été essentiellement traitée par un ou une stagiaire, les opérations qu'il ou elle a menées sont rémunérées sur la base d'une indemnité horaire de CHF 120.- ; la liste de frais indique quelles opérations ont été menées par des stagiaires.</w:t>
      </w:r>
    </w:p>
    <w:p>
      <w:r>
        <w:rPr>
          <w:b/>
        </w:rPr>
        <w:t>E. 3.1</w:t>
      </w:r>
    </w:p>
    <w:p>
      <w:r>
        <w:t>En l’espèce, l’indemnité fixée le 3 janvier 2023 par le Président du Tribunal n’est contestée que sur un point, soit le fait qu’il n’a pas pris en considération 5h30 pour la rédaction de la réponse du 17 septembre 2021, biffant 2h30 au tarif de CHF 120.- et 3 heures au tarif de CHF 180.- le 16 septembre 2021. Il a ainsi procédé à une réduction de CHF 840.-. Excepté ces points, la liste est admise (recours p. 4).</w:t>
      </w:r>
    </w:p>
    <w:p>
      <w:r>
        <w:rPr>
          <w:b/>
        </w:rPr>
        <w:t>E. 3.2</w:t>
      </w:r>
    </w:p>
    <w:p>
      <w:r>
        <w:t>Comme le relève le recourant, le temps noté dans sa liste de frais en lien avec l’établissement de la réponse du 16 septembre 2021 se monte à 13h30 pour six opérations (2h30+1+1+3h30+2h30+3), hors conférences client. En soi et même si le mémoire était relativement conséquent (22 pages plutôt denses), la réduction de 5h30 opérée par le premier juge pourrait être encore acceptable compte tenu de son pouvoir d’appréciation. Il a cela étant vraisemblablement échappé au Président du Tribunal que, parmi les six opérations énumérées ci-avant, deux d’entre elles, soit l’étude du dossier par 2h30 et la rédaction de la réponse par une heure, n’ont pas été</w:t>
      </w:r>
    </w:p>
    <w:p>
      <w:r>
        <w:t>Tribunal cantonal TC Page 4 de 5 facturées par Me A.________ (Tarif : 0). Ainsi, c’est en définitive dix heures de travail qui ont été facturées pour l’établissement de la réponse, dont sept heures au tarif de l’avocat-stagiaire. Les réductions opérées par le Président du Tribunal, qui portent sur deux opérations facturées (2h30 au tarif stagiaire, 3 heures au tarif de l’avocat), réduisent le temps accordé pour l’établissement de la réponse à 4h30 au tarif de l’avocat-stagiaire. Cela est manifestement trop rigoureux. Le grief est bien fondé.</w:t>
      </w:r>
    </w:p>
    <w:p>
      <w:r>
        <w:rPr>
          <w:b/>
        </w:rPr>
        <w:t>E. 3.3</w:t>
      </w:r>
    </w:p>
    <w:p>
      <w:r>
        <w:t>Il s’ensuit qu’un montant de CHF 840.- ([2.5 x 120] + [3 x 180]) doit être ajouté aux honoraires de CHF 3'105.- retenu par le Président du Tribunal, portant l’indemnité à CHF 3'945.-. S’y ajoutent les débours (CHF 197.25) et la TVA (CHF 318.95), d’où un total de CHF 4'461.20. Cela est légèrement moins que ce que demande en recours Me A.________ et est lié au fait que, contrairement à ce qui a été fait en première instance, il a facturé les 2h30 au tarif de l’avocat et non à celui du stagiaire, ce qui n’est pas justifié. Le recours ne sera dès lors que partiellement admis.</w:t>
      </w:r>
    </w:p>
    <w:p>
      <w:r>
        <w:rPr>
          <w:b/>
        </w:rPr>
        <w:t>E. 4.1</w:t>
      </w:r>
    </w:p>
    <w:p>
      <w:r>
        <w:t>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En l'espèce, le recourant a obtenu presqu’entièrement gain de cause ; dans ces circonstances, les frais judiciaires, fixés à un émolument global de CHF 300.- (art. 95 al. 2 let. b et 96 CPC, art. 11 et 19 al. 1 RJ), sont mis à la charge de l’Etat.</w:t>
      </w:r>
    </w:p>
    <w:p>
      <w:r>
        <w:rPr>
          <w:b/>
        </w:rPr>
        <w:t>E. 4.2</w:t>
      </w:r>
    </w:p>
    <w:p>
      <w:r>
        <w:t>Vu le temps consacré par Me A.________ à la procédure de recours, une indemnité de CHF 600.-, plus débours (CHF 30.-) et TVA (CHF 48.50) apparaît équitable pour la procédure de recours (art. 105 al. 2 CPC et 63 al. 2 RJ). (dispositif en page suivante)</w:t>
      </w:r>
    </w:p>
    <w:p>
      <w:r>
        <w:t>Tribunal cantonal TC Page 5 de 5 la Cour arrête : I. Le recours est partiellement admis. Partant, la décision du Président du Tribunal civil de l'arrondissement de la Sarine du 3 janvier 2023 est réformée dans le sens que l’indemnité équitable due à Me A.________, avocat, défenseur d’office de B.________, est fixée au montant de CHF 4'461.20 (honoraires : CHF 3'945.- ; débours : CHF 197.25 ; TVA : CHF 318.95). II. Les frais judiciaires de recours sont fixés à CHF 300.- et sont mis à la charge de l’Etat. III. Une indemnité de CHF 678.50, TVA par CHF 48.50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mars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