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113 vom 17. August 2023</w:t>
      </w:r>
    </w:p>
    <w:p>
      <w:r>
        <w:t>FR Kantonsgericht, 2023-08-17, FR</w:t>
      </w:r>
    </w:p>
    <w:p>
      <w:r>
        <w:rPr>
          <w:b/>
        </w:rPr>
        <w:t xml:space="preserve">Quelle: </w:t>
      </w:r>
      <w:r>
        <w:t>https://mcp.opencaselaw.ch/entscheid/fr_gerichte_101_2023_113</w:t>
      </w:r>
    </w:p>
    <w:p>
      <w:r>
        <w:t>FR: FR_GERICHTE 101 2023 113 du 17 août 2023</w:t>
      </w:r>
    </w:p>
    <w:p>
      <w:r>
        <w:t>IT: FR_GERICHTE 101 2023 113 del 17 agosto 2023</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 été notifiée au mandataire de l'appelant le 20 mars 2023 (DO/173). Déposé le 21 avril 2023, l'appel a dès lors été interjeté en temps utile, compte tenu de la suspension des délais liée à Pâques. Le mémoire est de plus dûment motivé et doté de conclusions. En outre, vu les contributions d'entretien en faveur des enfants restées litigieuses en première instance, et la durée en l'état indéterminée pendant laquelle elles seront dues, la valeur litigieuse au dernier état des conclusions est clairement supérieure à CHF 10'000.-. Il s'ensuit la recevabilité de l'appel.</w:t>
      </w:r>
    </w:p>
    <w:p>
      <w:r>
        <w:rPr>
          <w:b/>
        </w:rPr>
        <w:t>E. 1.2</w:t>
      </w:r>
    </w:p>
    <w:p>
      <w:r>
        <w:t>S'agissant de questions qui concernent des enfants mineurs, le tribunal doit établir les faits d'office (maxime inquisitoire, art. 296 al. 1 CPC) et n'est pas lié par les conclusions des parties (maxime d'office, art. 296 al. 3 CPC).</w:t>
      </w:r>
    </w:p>
    <w:p>
      <w:r>
        <w:rPr>
          <w:b/>
        </w:rPr>
        <w:t>E. 1.3</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la valeur litigieuse pour un recours au Tribunal fédéral semble dépasser CHF 30'000.- (art. 51 al. 1 let. a et al. 4 et art. 74 al. 1 let. b LTF).</w:t>
      </w:r>
    </w:p>
    <w:p>
      <w:r>
        <w:rPr>
          <w:b/>
        </w:rPr>
        <w:t>E. 2</w:t>
      </w:r>
    </w:p>
    <w:p>
      <w:r>
        <w:t>L'appelant reproche à l'autorité de première instance d'avoir tenu compte d'un revenu hypothétique comme base de calcul de la contribution d'entretien.</w:t>
      </w:r>
    </w:p>
    <w:p>
      <w:r>
        <w:rPr>
          <w:b/>
        </w:rPr>
        <w:t>E. 2.1</w:t>
      </w:r>
    </w:p>
    <w:p>
      <w:r>
        <w:t>Tout en admettant un changement durable et notable des circonstances de vie et de la situation économique du père, le Tribunal lui a imputé un revenu hypothétique à hauteur de sa</w:t>
      </w:r>
    </w:p>
    <w:p>
      <w:r>
        <w:t>Tribunal cantonal TC Page 4 de 7 situation financière au moment du prononcé du divorce. Il a retenu que, dans la mesure où le demandeur a choisi de résilier son contrat de travail et de quitter la Suisse pour un pays où les salaires sont notoirement inférieurs, il n'a pas réellement épuisé sa capacité maximale de travail. Par ailleurs, il a considéré que la diminution de revenu était volontaire.</w:t>
      </w:r>
    </w:p>
    <w:p>
      <w:r>
        <w:rPr>
          <w:b/>
        </w:rPr>
        <w:t>E. 2.2</w:t>
      </w:r>
    </w:p>
    <w:p>
      <w:r>
        <w:t>La modification ou la suppression de la contribution d'entretien de l'enfant est régie par l'art. 286 al. 2 CC, applicable par renvoi de l'art. 134 al. 2 CC. Elle suppose la survenance de faits nouveaux importants et durables, qui commandent une réglementation différente (ATF 137 III 604 consid. 4.1.1). Ce point a été admis par le Tribunal et n'est pas contesté en appel. Il n'y a pas lieu d'y revenir.</w:t>
      </w:r>
    </w:p>
    <w:p>
      <w:r>
        <w:rPr>
          <w:b/>
        </w:rPr>
        <w:t>E. 2.3</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d'exiger de lui (arrêt TF 5A_662/2013 du 24 juin 2014 consid. 3.3).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143 III 233 consid. 3.2). Par ailleurs, le débirentier qui exerçait déjà une activité lucrative à plein temps et assumait son obligation d'entretien, doit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rPr>
          <w:b/>
        </w:rPr>
        <w:t>E. 2.4</w:t>
      </w:r>
    </w:p>
    <w:p>
      <w:r>
        <w:t>En l'espèce, A.________, âgé d'une cinquantaine d'années, a vécu près de onze ans en Suisse, à savoir de décembre 2006 à juillet 2017. Il y a effectué une formation professionnelle de</w:t>
      </w:r>
    </w:p>
    <w:p>
      <w:r>
        <w:t>Tribunal cantonal TC Page 5 de 7 chauffeur poids-lourd et y a travaillé pendant près de dix ans, avant de résilier son contrat de travail et de retourner dans son pays d'origine. Pour justifier son départ, l'appelant allègue avoir quitté la Suisse pour des raisons nobles et intimement personnelles liées à la disparition de la raison de sa migration, à savoir un projet de vie fondée sur le mariage, et non dans un but ultime d'appauvrissement. Il est rentré dans son pays d'origine, où se trouvent tous ses liens sociaux, familiaux et professionnels, lieu où est né leur premier enfant et où les parties avait contracté mariage. Par ailleurs, la venue en Suisse reposerait sur la seule volonté de B.________, sans laquelle la famille serait restée en Espagne. L'appelant ne peut être suivi sur cette argumentation. Il ne pouvait en effet ignorer que son départ à l'étranger pouvait être repoussé à la majorité de ses enfants, ce qui pouvait être raisonnablement attendu de sa part et qui pouvait être fait en ne résiliant pas le contrat de travail qui le liait depuis huit ans à la même entreprise. Il a par ailleurs vécu en Suisse pendant dix ans, période durant laquelle il a pu créer des liens sociaux et professionnels, en particulier en travaillant durant autant d'années auprès de la même entreprise. Qui plus est, c'est en Suisse que résident ses deux enfants sur lesquels il avait alors une garde partagée et aussi large que possible. Bien que le père évoque à ce sujet l'indépendance grandissante de ses enfants, son obligation d'entretien subsiste. Il ne pouvait en outre ignorer que sa décision impacterait fortement sa capacité à subvenir à l'entretien de ses enfants restés en Suisse. Par ailleurs, lors de son départ en Espagne, ses deux enfants étaient mineurs, les exigences qui pesaient sur lui était d'autant plus élevées. Le père avait le devoir d'épuiser sa capacité maximale de travail et de mettre à profit sa pleine capacité de gain. Il apparaît qu'il est parti dans un pays où les salaires sont moindres, en se sachant débiteur de contributions d'entretien envers ses deux enfants. De plus, il a quitté la Suisse alors qu'il n'avait aucune perspective professionnelle en Espagne, tandis qu'il touchait en Suisse un revenu qui lui permettait de remplir son obligation d'entretien. Dans ces conditions, il faut admettre qu'en choisissant de quitter la Suisse dans de telles circonstances, A.________ n'a pas agi par nécessité, mais par convenance personnelle, sans se soucier véritablement des conséquences de sa décision sur la situation de ses enfants. Au vu de ce qui précède, c'est à juste titre que le Tribunal a fondé l'examen des contributions d'entretien dues aux enfants sur un revenu hypothétique du père correspondant au revenu qui était le sien au moment du prononcé du divorce. L'appel sera dès lors rejeté sur ce point.</w:t>
      </w:r>
    </w:p>
    <w:p>
      <w:r>
        <w:rPr>
          <w:b/>
        </w:rPr>
        <w:t>E. 2.5</w:t>
      </w:r>
    </w:p>
    <w:p>
      <w:r>
        <w:t>Par ailleurs, dans la mesure où l'appelant ne conteste pas les charges retenues par le Tribunal à son égard compte tenu d'une activité exercée en Suisse, ni la situation financière de l'intimée et des enfants telle que retenue, il n'y a pas lieu de s'y attarder. L'appel sera par conséquent rejeté et la décision attaquée confirmée.</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rejeté. Dans ces conditions, il se justifie que, sous réserve de l'assistance judiciaire qui lui a été octroyée, A.________ supporte l'ensemble des frais. Ils</w:t>
      </w:r>
    </w:p>
    <w:p>
      <w:r>
        <w:t>Tribunal cantonal TC Page 6 de 7 comprennent l'émolument forfaitaire de décision, fixé (art. 95 al. 2 let. b CPC) à un montant de CHF 1'200.-.</w:t>
      </w:r>
    </w:p>
    <w:p>
      <w:r>
        <w:rPr>
          <w:b/>
        </w:rPr>
        <w:t>E. 3.2</w:t>
      </w:r>
    </w:p>
    <w:p>
      <w:r>
        <w:t>Selon l'art. 105 al. 2 CPC, le tribunal fixe les dépens selon le tarif, soit le règlement fribourgeois du 30 novembre 2010 sur la justice (RJ ; RDF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en appel, Me Geneviève Chapuis Emery indique avoir consacré utilement à la défense des intérêts de sa cliente une durée totale de 13 heures, ce qui est raisonnable. Cette durée donne droit à des honoraires de CHF 3'250.-. Il faut y ajouter les débours par CHF 162.50 (5 % de CHF 3'250.-), et la TVA par CHF 262.75 (7.7 % de CHF 3'412.50). Partant, les dépens de l'intimée pour l'instance d'appel sont arrêtés à la somme de CHF 3'675.25, TVA comprise. Conformément à la jurisprudence récente du Tribunal fédéral (arrêt TF 4A_106/2021 du 8 août 2022 consid. 3.4), ce montant doit être versé directement à Me Geneviève Chapuis Emery, défenseur d'office de l'intimée, vu l'assistance judiciaire octroyée aux deux parties. (dispositif en page suivante)</w:t>
      </w:r>
    </w:p>
    <w:p>
      <w:r>
        <w:t>Tribunal cantonal TC Page 7 de 7 la Cour arrête : I. L'appel est rejeté. Partant, la décision du Tribunal civil de l'arrondissement de la Broye du 15 mars 2023 est confirmée. II. Les frais d'appel, qui comprennent notamment les frais judiciaires dus à l'Etat, fixés à CHF 1'200.-, sont mis à la charge de A.________, sous réserve de l'assistance judiciaire qui lui a été accordé. III. Les dépens d'appel de B.________ dus par A.________ à Me Geneviève Chapuis Emery, sont arrêtés à la somme de CHF 3'675.25, TVA par CHF 262.75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2023/st7 Le Président Le Greffier E trav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