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343 vom 16. Januar 2023</w:t>
      </w:r>
    </w:p>
    <w:p>
      <w:r>
        <w:t>FR Kantonsgericht, 2023-01-16, FR</w:t>
      </w:r>
    </w:p>
    <w:p>
      <w:r>
        <w:rPr>
          <w:b/>
        </w:rPr>
        <w:t xml:space="preserve">Quelle: </w:t>
      </w:r>
      <w:r>
        <w:t>https://mcp.opencaselaw.ch/entscheid/fr_gerichte_101_2022_343</w:t>
      </w:r>
    </w:p>
    <w:p>
      <w:r>
        <w:t>FR: FR_GERICHTE 101 2022 343 du 16 janvier 2023</w:t>
      </w:r>
    </w:p>
    <w:p>
      <w:r>
        <w:t>IT: FR_GERICHTE 101 2022 343 del 16 gennaio 2023</w:t>
      </w:r>
    </w:p>
    <w:p>
      <w:pPr>
        <w:pStyle w:val="Heading2"/>
      </w:pPr>
      <w:r>
        <w:t>Regeste</w:t>
      </w:r>
    </w:p>
    <w:p>
      <w:r>
        <w:t>Arrêt de la Ie Cour d'appel civil du Tribunal cantonal | Ehescheidung</w:t>
      </w:r>
    </w:p>
    <w:p>
      <w:pPr>
        <w:pStyle w:val="Heading2"/>
      </w:pPr>
      <w:r>
        <w:t>Erwägungen</w:t>
      </w:r>
    </w:p>
    <w:p>
      <w:r>
        <w:rPr>
          <w:b/>
        </w:rPr>
        <w:t>E. 30</w:t>
      </w:r>
    </w:p>
    <w:p>
      <w:r>
        <w:t>jours dès l'entrée en force du jugement de divorce sur la liquidation du régime matrimonial. Pour le surplus, chaque partie demeure propriétaire des biens mobiliers actuellement en sa possession, reste titulaire des comptes bancaires, postaux, assurances ainsi que de tous autres titres et valeurs établis ou ouverts à son nom. Pour le surplus, le dispositif de la décision du 1er juillet 2022 est inchangé. II. Les frais d'appel sont mis à la charge de A.________ à raison des ¾ et à la charge de B.________ pour le ¼ restant, sous réserve de l'assistance judiciaire qui leur a été octroyée. III. Les frais de la procédure d'appel sont fixés à CHF 1'600.-. Ils seront pris en charge par A.________ à concurrence de CHF 1'200.- et par B.________ à concurrence de CHF 400.-, sous réserve de l'assistance judiciaire qui leur a été octroyée. IV. Les dépens de A.________ sont fixés à CHF 4'579.95 et ceux de B.________ à CHF 2'544.40. Après compensation, A.________ est reconnu devoir à B.________ un montant de CHF 763.30 à titre de dépens pour la procédure d'appel.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2023/jei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