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414 vom 12. Januar 2022</w:t>
      </w:r>
    </w:p>
    <w:p>
      <w:r>
        <w:t>FR Kantonsgericht, 2022-01-12, FR</w:t>
      </w:r>
    </w:p>
    <w:p>
      <w:r>
        <w:rPr>
          <w:b/>
        </w:rPr>
        <w:t xml:space="preserve">Quelle: </w:t>
      </w:r>
      <w:r>
        <w:t>https://mcp.opencaselaw.ch/entscheid/fr_gerichte_101_2021_414</w:t>
      </w:r>
    </w:p>
    <w:p>
      <w:r>
        <w:t>FR: FR_GERICHTE 101 2021 414 du 12 janvier 2022</w:t>
      </w:r>
    </w:p>
    <w:p>
      <w:r>
        <w:t>IT: FR_GERICHTE 101 2021 414 del 12 gennaio 2022</w:t>
      </w:r>
    </w:p>
    <w:p>
      <w:pPr>
        <w:pStyle w:val="Heading2"/>
      </w:pPr>
      <w:r>
        <w:t>Regeste</w:t>
      </w:r>
    </w:p>
    <w:p>
      <w:r>
        <w:t>Arrêt de la Ie Cour d'appel civil du Tribunal cantonal | Eheschutzmassnahmen</w:t>
      </w:r>
    </w:p>
    <w:p>
      <w:pPr>
        <w:pStyle w:val="Heading2"/>
      </w:pPr>
      <w:r>
        <w:t>Erwägungen</w:t>
      </w:r>
    </w:p>
    <w:p>
      <w:r>
        <w:rPr>
          <w:b/>
        </w:rPr>
        <w:t>E. 11</w:t>
      </w:r>
    </w:p>
    <w:p>
      <w:r>
        <w:t>octobre 2021, ainsi que les demandes d'allocations pour perte de gain ou d'indemnités Covid-19 et les décisions y relatives. Dans sa réponse du 2 décembre 2021, B.________ conclut au rejet de l'appel, sous suite de frais, ainsi que des réquisitions de preuves.</w:t>
      </w:r>
    </w:p>
    <w:p>
      <w:r>
        <w:t>Tribunal cantonal TC Page 3 de 7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 le 1er octobre 2021 (DO/156). Déposé le 11 octobre 2021, l’appel a dès lors été interjeté en temps utile. Le mémoire d’appel est, de plus, dûment motivé et doté de conclusions. En outre, vu le montant mensuel total égal ou supérieur à CHF 3'600.- demandé à titre de contributions d'entretien depuis juin 2020, que le défendeur contestait entièrement, la valeur litigieuse est clairement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comme le fait que les mesures en cause ont été prononcées pour une durée indéterminée, la valeur litigieuse pour un recours au Tribunal fédéral est supérieure à CHF 30'000.- (art. 51 al. 1 let. a et al. 4 LTF). 2.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w:t>
      </w:r>
    </w:p>
    <w:p>
      <w:r>
        <w:t>Tribunal cantonal TC Page 4 de 7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2.1.2.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2.2. En l'espèce, le premier juge n'a établi que la situation financière de B.________, mais non celle de A.________, dont il a estimé qu'elle "ne revêt en l'occurrence aucune importance" : en effet, il a relevé que le minimum vital du père – qui est assez limité – doit être préservé et qu'il ne saurait être astreint à verser des pensions qui dépasseraient ses capacités, de sorte qu'il n'est pas nécessaire d'investiguer plus avant sur la situation de l'épouse ni sur le minimum vital du droit de la famille des parents ou des enfants (décision attaquée, p. 9). Cela étant, le Président a arrêté le revenu de l'intimé, qui exploite une raison individuelle dans le domaine de la menuiserie, à CHF 3'690.- net par mois. Il s'est fondé sur le bénéfice moyen réalisé entre 2018 et la moitié de l'année 2021, tel qu'il ressort des comptabilités produites, relevant que l'année 2017 n'est pas déterminante dès lors qu'une perte a été réalisée. Il a ensuite calculé les charges du père selon le minimum vital LP et a astreint celui-ci à verser pour chacun de ses enfants la moitié de son solde disponible (décision attaquée, p. 17-26). 2.3. L'appelante reproche au premier juge d'avoir arrêté le revenu de son mari à CHF 3'690.- net par mois. Elle fait valoir, d'une part, qu'il résulte de la déclaration d'impôts 2020 de l'intimé que celui- ci a perçu, en plus du bénéfice résultant de sa comptabilité, un montant de CHF 29'979.- à titre d'indemnités pour perte de gain liées à la pandémie de Covid-19, ainsi que des allocations familiales à hauteur de CHF 6'360.-. Or, la décision attaquée ne tient pas compte de ces ressources, qui augmentent le bénéfice 2020 de CHF 45'842.- à CHF 82'181.-. D'autre part, elle soutient qu'en retenant ces revenus, le résultat d'exploitation de l'entreprise de son mari s'est continuellement amélioré entre 2017 et 2020, passant d'une perte de CHF 25'938.- à un bénéfice de CHF 37'365.65, puis CHF 53'462.- et CHF 82'181.-. Elle en déduit qu'est déterminant le dernier résultat connu, soit celui de 2020, et qu'il convient de se fonder sur un revenu de CHF 6'848.- par mois. Par ailleurs, elle reproche au Président d'avoir arrêté le bénéfice 2021 à CHF 22'000.- pour les sept premiers mois de l'année, sur la base d'un bilan intermédiaire, sans tenir compte d'éventuelles indemnités pour</w:t>
      </w:r>
    </w:p>
    <w:p>
      <w:r>
        <w:t>Tribunal cantonal TC Page 5 de 7 perte de gain qui auraient été perçues, ni d'une possible amélioration du chiffre d'affaires en fin d'année (appel, p. 4-8). De son côté, l'intimé soutient que le premier juge a procédé correctement en se fondant sur la moyenne des bénéfices des années 2018 à 2020, ainsi que sur le résultat provisoire du bilan intermédiaire 2021. Il relève que les indemnités perçues en raison de la pandémie de Covid-19 ne sont pas un revenu, mais une aide exceptionnelle octroyée par la Confédération aux indépendants directement impactés par la situation sanitaire, et que les allocations familiales doivent revenir à ses enfants, ce d'autant qu'en 2020 une garde alternée était exercée et que son épouse n'a pas contesté qu'il lui a versé la moitié de ces allocations (réponse à l'appel, p. 3-7). 2.4. 2.4.1. Selon la jurisprudence,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En l'espèce, les comptes 2018 à 2020 de l'entreprise de l'intimé (pièces 45 et 47 du bordereau de l'épouse du 1er juin 2021, ainsi que 4 du bordereau du mari du 20 août 2021) montrent des bénéfices respectifs de CHF 37'365.65, CHF 53'462.65 et CHF 45'842.30. Ces montants étant fluctuants, c'est à juste titre que le premier juge a retenu leur moyenne, comme la jurisprudence le prévoit. Compte tenu du fait que trois exercices consécutifs sont disponibles, il y a lieu en l'état de faire abstraction du résultat provisoire 2021, ce d'autant que le début de l'année 2021 a été marqué par de nouvelles fermetures en raison de la situation sanitaire. Cela étant, l'intimé admet avoir perçu en 2020 un montant de CHF 29'979.- à titre d'indemnités pour perte de gain liées à la pandémie de Covid-19. Contrairement à ce qu'il tente de soutenir, il s'agit là manifestement d'une compensation de la perte de revenu consécutive aux mesures sanitaires, et donc d'un élément de revenu. Or, la décision querellée en fait totalement abstraction, de la même manière que n'a pas été instruite – alors que l'épouse le demandait (DO/130) – la question de savoir si de telles indemnités ont été perçues au début de l'année 2021. En tenant compte de cette somme, l'intimé a gagné en 2020 CHF 75'821.30 au total (CHF 45'842.30 de bénéfice + CHF 29'979.- d'indemnités), ce qui porte le bénéfice moyen entre 2018 et 2020 à CHF 55'550.-, soit CHF 4'629.- par mois, et non CHF 3'690.- comme retenu par le Président. 2.4.2. Cette augmentation sensible du revenu du mari commande de réexaminer les contributions d'entretien fixées en faveur des enfants, voire d'élargir les charges prises en compte pour se fonder sur le minimum vital du droit de la famille. Or, la Cour n'est pas en mesure de le faire, dès lors que la décision attaquée n'établit pas du tout la situation financière de l'épouse, contrairement à ce que prescrit la jurisprudence, et qu'il paraît nécessaire de faire produire à cette dernière divers documents parmi ceux sollicités par l'intimé le 23 septembre 2021 (DO/132), tels que la comptabilité de son restaurant ou les justificatifs de ses frais de logement suite à la vente de la maison familiale. L'on ne peut en effet, comme le premier juge l'a fait, affirmer d'emblée que les revenus et charges de l'appelante n'ont aucune importance. D'une part, jusqu'en juillet 2021, une garde alternée était pratiquée, ce qui justifie en principe une répartition du coût des enfants en fonction de la capacité contributive de chaque parent (ATF 147 III 265 consid. 5.5). D'autre part, même l'octroi de la garde exclusive à la mère dès août 2021 n'a pas obligatoirement pour conséquence que l'entier de ce coût</w:t>
      </w:r>
    </w:p>
    <w:p>
      <w:r>
        <w:t>Tribunal cantonal TC Page 6 de 7 doit être supporté par le père, si la situation de la mère devait être meilleure que celle du père, non gardien (ATF 147 III 265 consid. 8.1). Par ailleurs, l'établissement des revenus et charges de chaque parent est de toute façon nécessaire, dans l'optique éventuelle d'une modification future des circonstances. Vu la nécessité de compléter l'état de fait sur des points essentiels, et afin de ne pas priver les parties du double degré de juridiction que la loi leur garantit, il convient donc d'annuler le chiffre 6 du dispositif de la décision du 27 septembre 2021 et de renvoyer la cause au premier juge pour nouvelle décision quant aux contributions d'entretien dues pour les enfants C.________ et D.________ (art. 318 al. 1 let. c ch. 2 CPC). Dans ce cadre, après avoir ordonné les mesures d'instruction nécessaires, il lui appartiendra d'établir la situation financière de chaque parent, de déterminer le coût des enfants et de calculer les contributions d'entretien dues pour eux par leur père, selon le minimum vital du droit des poursuites et/ou du droit de la famille, en fonction des circonstances. 2.5. Il s'ensuit l'admission partielle de l'appel. 3.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l'un des griefs de l'appelante étant admis, mais la cause est renvoyée au premier juge pour nouvelle décision, contrairement à ce qui était demandé. Dans ces conditions, compte tenu de la souplesse voulue par le législateur dans l'attribution des frais lorsque le litige relève du droit de la famille, il se justifie que chaque époux supporte ses propres dépens d'appel et la moitié des frais judiciaires dus à l'Etat, fixés à CHF 1'000.-. Indépendamment de cette attribution, les frais de justice seront toutefois acquittés par prélèvement sur l'avance versée par A.________, qui pourra obtenir le remboursement de la somme de CHF 500.- de la part de B.________. (dispositif en page suivante)</w:t>
      </w:r>
    </w:p>
    <w:p>
      <w:r>
        <w:t>Tribunal cantonal TC Page 7 de 7 la Cour arrête : I. L'appel est partiellement admis. Partant, le chiffre 6 du dispositif de la décision prononcée le 27 septembre 2021 par le Président du Tribunal civil de la Glâne est annulé. La cause lui est renvoyée pour nouvelle décision à cet égard, dans le sens des considérants. II. Chaque partie supporte ses propres dépens d'appel et la moitié des frais judiciaires dus à l'Etat, fixés à CHF 1'000.-. Indépendamment de cette attribution, les frais de justice seront toutefois acquittés par prélèvement sur l'avance versée par A.________, qui pourra obtenir le remboursement de la somme de CHF 500.- de la part de B.________.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janvier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