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313 vom 4. November 2021</w:t>
      </w:r>
    </w:p>
    <w:p>
      <w:r>
        <w:t>FR Kantonsgericht, 2021-11-04, FR</w:t>
      </w:r>
    </w:p>
    <w:p>
      <w:r>
        <w:rPr>
          <w:b/>
        </w:rPr>
        <w:t xml:space="preserve">Quelle: </w:t>
      </w:r>
      <w:r>
        <w:t>https://mcp.opencaselaw.ch/entscheid/fr_gerichte_101_2021_313</w:t>
      </w:r>
    </w:p>
    <w:p>
      <w:r>
        <w:t>FR: FR_GERICHTE 101 2021 313 du 4 novembre 2021</w:t>
      </w:r>
    </w:p>
    <w:p>
      <w:r>
        <w:t>IT: FR_GERICHTE 101 2021 313 del 4 novembre 2021</w:t>
      </w:r>
    </w:p>
    <w:p>
      <w:pPr>
        <w:pStyle w:val="Heading2"/>
      </w:pPr>
      <w:r>
        <w:t>Regeste</w:t>
      </w:r>
    </w:p>
    <w:p>
      <w:r>
        <w:t>Arrêt de la Ie Cour d'appel civil du Tribunal cantonal | Wirkungen des Kindesverhältnisses</w:t>
      </w:r>
    </w:p>
    <w:p>
      <w:pPr>
        <w:pStyle w:val="Heading2"/>
      </w:pPr>
      <w:r>
        <w:t>Erwägungen</w:t>
      </w:r>
    </w:p>
    <w:p>
      <w:r>
        <w:rPr>
          <w:b/>
        </w:rPr>
        <w:t>E. 31</w:t>
      </w:r>
    </w:p>
    <w:p>
      <w:r>
        <w:t>janvier 2021, CHF 200.- par enfant du 1er février 2021 au 30 septembre 2022, CHF 415.- par enfant dès le 1er octobre 2022 et jusqu’à leur majorité. Subsidiairement, il conclut au renvoi de la cause à l’autorité de première instance. Les enfants, agissant par leur mère, n'ont pas été invités à déposer une réponse à l'appel.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simplifiée – qui régit notamment l'action alimentaire d'un enfant mineur (art. 295 CPC) – est de 30 jours (art. 311 al. 1 CPC).</w:t>
      </w:r>
    </w:p>
    <w:p>
      <w:r>
        <w:t>Tribunal cantonal TC Page 3 de 8 En l'espèce, la décision attaquée a été notifiée à l’appelant le 15 septembre 2021 (cf. DO/97). Déposé le 30 septembre 2021, l'appel a été interjeté en temps utile. En outre, la valeur litigieuse est supérieure à CHF 10'000.-, vu les contributions d'entretien mensuelles réclamées par les enfants et contestées par le père en première instance (cf. DO/84). 1.2. 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Les pièces produites par l’appelant sont ainsi recevables. 1.3.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l'appelant modifie ses conclusions en lien avec l'entretien de ses enfants : alors qu'en première instance il concluait principalement à l’irrecevabilité, respectivement au rejet des conclusions des demandeurs, et subsidiairement au versement d’une contribution d’entretien de CHF 348.60 du 12 juin 2019 au 31 janvier 2021, puis de CHF 150.- du 1er février 2021 jusqu’au 3 mars 2023 pour B.________, et de CHF 348.60 du 12 juin 2019 au 31 janvier 2021, puis de CHF 150.- du 1er février 2021 jusqu’au 18 juillet 2024 pour C.________ (cf. DO/22, 56), il accepte désormais de verser CHF 500.- par enfant du 12 juin 2019 au 31 janvier 2021, CHF 200.- par enfant du 1er février 2021 au 30 septembre 2022, et CHF 415.- par enfant dès le 1er octobre 2022 et jusqu’à leur majorité. Cette amplification des sommes proposées est recevable. 1.4. Selon l'art. 312 al. 1 CPC, l'instance d'appel notifie l'appel à la partie adverse pour qu'elle se détermine par écrit, sauf si l'appel est manifestement irrecevable ou infondé. En l'espèce, vu le sort qui doit être donné à l'appel (infra, consid. 2), il n'a pas été ordonné d'échange d'écritures. De plus, dans la mesure où le dossier est complet, la Cour statue sans débats, conformément à la possibilité prévue par l'art. 316 al. 1 CPC. 1.5. Vu les montants contestés en appel et la durée indéterminée des contributions d'entretien (art. 277 al. 2 CC), la valeur litigieuse pour un recours au Tribunal fédéral paraît dépasser CHF 30'000.- (art. 51 al. 1 let. a et al. 4 LTF).</w:t>
      </w:r>
    </w:p>
    <w:p>
      <w:r>
        <w:t>Tribunal cantonal TC Page 4 de 8 2. L’appelant ne conteste pas la situation financière telle que retenue par la Présidente s’agissant tant des enfants que de leur mère (cf. décision querellée, p. 5 et 7). En revanche, il reproche à la magistrate précitée de lui avoir imparti un délai d’adaptation trop court en lien avec la fixation d’un revenu hypothétique (infra, consid. 2.1), de ne pas avoir ajouté des frais de repas dès le moment où il réalisera ce revenu hypothétique (infra, consid. 2.2) et d’avoir fixé les contributions d’entretien au- delà de la majorité des enfants (infra, consid. 2.3). 2.1. 2.1.1. Dans un premier point, l’appelant soutient qu’il aurait dû bénéficier d’un délai d’adaptation d’un an, et non de 2 ½ mois, avant de se voir imputer un revenu hypothétique. En substance, il relève que le versement régulier de ses indemnités de chômage sont un indice permettant de retenir qu’il a entrepris tout ce qu’on pouvait raisonnablement exiger de lui pour éviter le chômage, que ce dernier ne dure au demeurant que depuis peu de temps, soit depuis le 1er février 2021, que sa conseillère de l’ORP confirme qu’il met tout en œuvre pour retrouver un emploi, qu’il fait des recherches sérieuses dans plusieurs domaines, qu’une mesure de réinsertion AI lui a été offerte, que les personnes de son âge ont plus de difficultés à retrouver du travail et sont facilement exposées à un chômage de longue durée, que l’autorité de première instance n’a pas tenu compte du fait que les restaurants sont restés fermés longtemps et qu’il rencontre des problèmes de santé. Au vu de ces circonstances tout à fait particulières qui entourent le cas d’espèce, la Présidente aurait violé le droit, notamment les art. 276 ss CC, et serait tombée dans l’arbitraire en retenant un délai d’adaptation de 2 ½ mois. Elle aurait plutôt dû lui accorder un délai d’un an. Ceci serait d’autant plus vrai que le minimum vital LP des enfants serait actuellement couvert par le disponible de leur mère (calculé selon le minimum vital LP) et les pensions qu’il leur verse mensuellement, soit CHF 150.- par enfant, de sorte qu’il n’y aurait pas d’urgence particulière. A l’inverse, lui imputer un revenu hypothétique dès le 1er décembre 2021 risquerait de le mettre dans une situation de grande détresse financière (cf. recours, p. 8 ss). 2.1.2. La première juge a considéré ce qui suit : « le défendeur est âgé de 50 ans. Il dispose d’une formation et d’expérience dans le domaine de la cuisine, ainsi que comme chauffeur professionnel (PV, p. 5 et 6). Il souffre d’hypertension artérielle et d’un problème aux reins (PV, p. 5). Il est actuellement au bénéfice d’une mesure de réinsertion AI, étant précisé qu’il a bénéficié d’indemnités APG durant plusieurs mois en raison d’une incapacité de travail (PV, p. 5, 6 et 8; pce 13). Lors de l’audience du 25 mai 2021, il a déclaré qu’il ne pouvait plus travailler dans le domaine de la cuisine, mais qu’il cherchait un emploi comme chauffeur professionnel ou dans l’informatique (PV, p. 6). Cependant, aucune pièce au dossier ne vient étayer le fait qu’il ne puisse plus travailler en cuisine. Enfin, selon sa Curatrice de représentation et de gestion du patrimoine, F.________, il est actuellement capable de travailler (PV, p. 8). Ainsi, compte tenu de son âge, de son état de santé, du fait qu’il est au bénéfice d’une formation dans le domaine de la cuisine, dans lequel il a de l’expérience professionnelle, un revenu hypothétique équivalent à ce qu’il réalisait en tant qu’aide cuisinier auprès de G.________ lui sera imputé. Un délai d’adaptation lui sera toutefois octroyé, le temps de retrouver un emploi. Par conséquent, un revenu hypothétique mensuel net de Fr. 3'486.35 lui sera imputé dès le 1er décembre 2021 » (cf. décision attaquée, p. 6). 2.1.3.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w:t>
      </w:r>
    </w:p>
    <w:p>
      <w:r>
        <w:t>Tribunal cantonal TC Page 5 de 8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arrêt TF 5A_254/2019 du 18 juillet 2019 consid. 3.1). Par ailleurs, si le juge entend exiger que l'un des époux reprenne une activité lucrative, il doit en principe lui accorder un délai d'adaptation approprié; celui-ci doit être fixé en fonction des circonstances concrètes du cas particulier (arrêt TF 5A_454/2017 du 17 mai 2018 consid. 6.1.1 non publié aux ATF 144 III 377). 2.1.4. En l'espèce, l’appelant ne conteste ni le principe d’un revenu hypothétique ni le salaire y relatif retenu par la Présidente. S’il répète certes qu’il rencontre des « problèmes de santé », sans de plus amples développements – étant relevé que s’il a allégué des problèmes cardiaques et psychiques dans sa réponse du 9 avril 2021 (cf. DO/36), il a évoqué de l’hypertension artérielle et un problème aux reins lors de l’audience du 25 mai 2021 (cf. DO/59) –, l’appelant ne discute pas l’argument de la première juge, selon lequel aucune pièce au dossier ne vient étayer le fait qu’il ne puisse plus travailler en cuisine. On ne saurait pas non plus faire de reproches à la Présidente en lien avec le constat que la curatrice de représentation et de gestion du patrimoine de l’appelant a déclaré en audience que ce dernier est actuellement capable de travailler. Elle a certes encore précisé ceci : « S’il devait avoir une incapacité médicale, nous nous tournerons vers le social. Il y a un coaching AI qui se fait pour évaluer son potentiel. Il y a un cours prévu au mois de septembre » (cf. DO/62). Ce qui précède et le fait qu’il suive des cours dans un autre domaine d’activité (informatique) ne change toutefois rien au constat que l’appelant ne se trouve pas en incapacité de travail actuellement. Il n’est ainsi pas démontré que l’appelant rencontre des problèmes de santé qui l’empêchent de travailler, que ce soit en cuisine ou dans un autre domaine. Sous l’angle de la santé, rien ne s’oppose ainsi d’exiger de ce père de deux enfants mineurs qu’il réalise de nouveau un salaire plus élevé dès le 1er décembre 2021. Il n'est pas contesté que, depuis le début de la crise sanitaire liée à la pandémie de Covid-19, la situation financière de beaucoup d'établissements publics de restauration est délicate. Cette réalité n'a cependant pas été occultée dans la détermination des conditions économiques de l'appelant. Dans la décision querellée, la Présidente a ainsi pris en compte, de février à fin novembre 2021, les indemnités de chômage qu'il perçoit suite à son licenciement. Elle a donc estimé qu'il n'était pas responsable de la réduction actuelle de son revenu et qu'il convenait de lui laisser un délai pour se retourner. Cela étant, les exigences en matière de revenu sont accrues lorsqu'est en jeu l'entretien d'enfants mineurs. La première juge n'a dès lors pas violé le droit en estimant qu'il appartient à l'appelant de trouver un nouvel emploi à 100% d'ici le 1er décembre 2021. L’appelant aura ainsi disposé, depuis son licenciement, de dix mois à cet effet, ce qui ne paraît pas déraisonnable. Certes, l'évolution de la situation économique dans le domaine de la restauration est encore incertaine et il est plus difficile pour une personne de plus de 50 ans de retrouver une activité professionnelle rapidement. Il n'en demeure pas moins qu'il ne devrait pas être excessivement difficile, même pour un homme de tout juste 50 ans, avec plusieurs formations et de l’expérience, de trouver un travail en l’espace de dix mois. Au besoin, il appartient à l'appelant d'élargir ses recherches à d'autres domaines, comme la vente, le nettoyage ou encore le transport, étant relevé qu'il a déclaré disposer</w:t>
      </w:r>
    </w:p>
    <w:p>
      <w:r>
        <w:t>Tribunal cantonal TC Page 6 de 8 du permis de chauffeur professionnel et avoir déjà travaillé durant 5 ans en tant que tel (cf. DO/60). Sur le principe, la mesure d’intervention précoce de l’AI (soit un cours d’Administrateur Systèmes &amp; Cloud Services) ne s’oppose au demeurant pas à ce qui précède puisqu’elle permet au contraire d’élargir les possibilités d’emplois, tout du moins l’appelant n’expose-t-il pas dans quelle mesure ce cours l’empêcherait de trouver un emploi au plus tard dès le 1er décembre 2021. Quant au courriel de sa conseillère de l’ORP du 24 septembre 2021, il ne dit rien d’autre que l’appelant fait ses recherches selon les obligations de l’Office et qu’il n’a pas encore trouvé d’emploi, ce qui n’est pas suffisant pour démontrer que la décision querellée violerait le droit fédéral. En ce qui concerne enfin l’argument selon lequel le minimum vital LP des enfants serait actuellement couvert par le disponible de leur mère (calculé selon le minimum vital LP) et les pensions qu’il leur verse mensuellement, soit CHF 150.- par enfant, de sorte qu’il n’y aurait pas d’urgence particulière, il ne saurait être suivi puisqu’il n’appartient en l’occurrence pas uniquement à la mère de supporter le coût d’entretien des enfants – fixé à CHF 550.- environ par enfant (selon le minimum vital LP) après déduction des allocations familiales (cf. décision attaquée, p. 7) –, en sus de l’entretien en nature qu’elle assume, ce d’autant moins que le père est en mesure, selon les déclarations de sa curatrice, de rembourser, par acomptes mensuels régulières, des dettes qui sont pourtant subsidiaires à son obligation d’entretien envers ses enfants mineurs (cf. DO/61 : frais auprès du tribunal, d’un garage et d’une assurance). Au vu de ce qui précède, l'imputation d'un revenu hypothétique de CHF 3'486.35, dès le 1er décembre 2021, ne prête pas le flanc à la critique. L'appel, manifestement infondé, ne peut être que rejeté sur ce point. 2.2. 2.2.1. L’appelant fait ensuite grief à la Présidente de ne pas avoir ajouté des frais de repas dès le moment où il réalisera le revenu hypothétique. Elle aurait ainsi violé le droit et constaté les faits de manière inexacte. En effet, elle aurait dû prendre en considération un montant arrondi de CHF 200.- par mois à titre de frais de repas pris à l'extérieur pour un travail à 100% dès le moment où un revenu hypothétique était retenu ([CHF 10.- x 5 jours x 47] / 12; cf. recours, p. 12). 2.2.2. Sur ce point non plus, l’appel ne convainc pas. En effet, la première juge n’a pas pris en compte des frais de repas pour la mère des enfants, celle-ci emportant son dîner depuis la maison. L'équité commande ainsi qu’il en aille de même pour le père, ce d’autant plus que la situation financière des parents est très serrée et qu’il n’est pas démontré que l’éloignement du lieu d’habitation de l’appelant de son futur lieu de travail impliquerait dans tous les cas la prise de repas à l’extérieur. Partant, aucun reproche ne peut être fait à la Présidente à cet égard. 2.3. 2.3.1. Dans un dernier point, l’appelant soutient qu’il convient de limiter le versement des pensions à la majorité des enfants, ces derniers refusant de le voir (cf. recours, p. 12). Dans la partie « Bref historique de la cause », on lit encore que les enfants ne veulent plus avoir de contact avec lui depuis plusieurs années alors qu’il s’est occupé d’eux de manière prépondérante durant des années (cf. recours, p. 7). La question de savoir si l’appel est ainsi suffisamment motivé peut demeurer ouverte, puisqu’il est également manifestement infondé sur ce point. 2.3.2. L'art. 277 al. 2 CC pose les conditions de l'obligation d'entretien des père et mère à l'égard de leur enfant majeur poursuivant sa formation. Cette obligation dépend expressément de l'ensemble des circonstances et notamment des relations personnelles entre les parties.</w:t>
      </w:r>
    </w:p>
    <w:p>
      <w:r>
        <w:t>Tribunal cantonal TC Page 7 de 8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Dans ce domaine, le juge jouit d'un large pouvoir d'appréciation, il applique les règles du droit et de l'équité (art. 4 CC; arrêt TF 5A_64/2015 du 2 avril 2015 consid. 5.1.1 et les références citées). 2.3.3. En l’occurrence, rien au dossier ne permet de retenir que les enfants mineurs auraient violé gravement les devoirs qui leur incombent en vertu de l'art. 272 CC et provoqué la rupture des relations avec leur père par leur refus injustifié de les entretenir, leur attitude gravement querelleuse ou leur hostilité profonde. L’appelant a en effet déclaré lui-même, lors de l’audience du 25 mai 2021, que le Ministère public lui a signifié une interdiction d’approcher les enfants (cf. DO/59), ce qu’il ne semble pas avoir contesté. De plus, il a également été signalé qu’une procédure civile est pendante par-devant la Justice de paix (cf. DO/59). Dans ces circonstances, il ne saurait, du moins en l’état, être question d’une rupture des relations personnelles due à la seule attitude – qui plus est imputable à faute – des enfants B.________ et C.________. 3.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l'appelant (art. 117 let. b CPC a contrario). 4. Les frais judiciaires d'appel, fixés à CHF 600.-, seront supportés par l'appelant, qui succombe (art. 106 al. 1 CPC). Il n'est pas alloué de dépens aux intimés, qui n'ont pas été invités à déposer une réponse. (dispositif en page suivante)</w:t>
      </w:r>
    </w:p>
    <w:p>
      <w:r>
        <w:t>Tribunal cantonal TC Page 8 de 8 la Cour arrête : I. L'appel est rejeté. Partant, la décision prononcée le 14 septembre 2021 par la Présidente du Tribunal civil de l’arrondissement de la Sarine est confirmée. II. La requête d'assistance judiciaire présentée pour l'appel par A.________ est rejetée. III. Les frais judiciaires d'appel, fixés à CHF 600.-, sont mis à la charge de A.________. Il n'est pas alloué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