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296 vom 25. November 2021</w:t>
      </w:r>
    </w:p>
    <w:p>
      <w:r>
        <w:t>FR Kantonsgericht, 2021-11-25, FR</w:t>
      </w:r>
    </w:p>
    <w:p>
      <w:r>
        <w:rPr>
          <w:b/>
        </w:rPr>
        <w:t xml:space="preserve">Quelle: </w:t>
      </w:r>
      <w:r>
        <w:t>https://mcp.opencaselaw.ch/entscheid/fr_gerichte_101_2021_296</w:t>
      </w:r>
    </w:p>
    <w:p>
      <w:r>
        <w:t>FR: FR_GERICHTE 101 2021 296 du 25 novembre 2021</w:t>
      </w:r>
    </w:p>
    <w:p>
      <w:r>
        <w:t>IT: FR_GERICHTE 101 2021 296 del 25 novembre 2021</w:t>
      </w:r>
    </w:p>
    <w:p>
      <w:pPr>
        <w:pStyle w:val="Heading2"/>
      </w:pPr>
      <w:r>
        <w:t>Regeste</w:t>
      </w:r>
    </w:p>
    <w:p>
      <w:r>
        <w:t>Arrêt de la Ie Cour d'appel civil du Tribunal cantonal | Eheschutzmassnahmen</w:t>
      </w:r>
    </w:p>
    <w:p>
      <w:pPr>
        <w:pStyle w:val="Heading2"/>
      </w:pPr>
      <w:r>
        <w:t>Erwägungen</w:t>
      </w:r>
    </w:p>
    <w:p>
      <w:r>
        <w:rPr>
          <w:b/>
        </w:rPr>
        <w:t>E. 31</w:t>
      </w:r>
    </w:p>
    <w:p>
      <w:r>
        <w:t>décembre 2027 et CHF 545.- dès le 1er janvier 2028. Là encore, en tenant compte de la rente AI complémentaire par CHF 637.- portée en déduction, l'entretien convenable de D.________ et E.________ (art. 301a CPC) est couvert. 2.8. Force est dès lors de constater que même à imputer un revenu hypothétique à l'appelant, celui-ci accuse un déficit, de sorte que l'on ne saurait exiger de lui, du moins à ce stade, qu'il contribue à l'entretien de ses filles davantage que par le versement, en mains de leur mère, des allocations familiales et des éventuelles allocations patronales qu'il perçoit en leur faveur. 2.9. Il s'ensuit l'admission de l'appel, le dispositif de la décision attaquée étant modifié en conséquence.</w:t>
      </w:r>
    </w:p>
    <w:p>
      <w:r>
        <w:t>Tribunal cantonal TC Page 9 de 10 3. 3.1. Aux termes de l'art. 106 al. 1 CPC, les frais sont en principe mis à la charge de la partie succombante.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est admis, de sorte que, sous réserve de l'assistance judiciaire qui lui a été octroyée, il convient de mettre les frais à la charge de l'intimée qui, même si elle s'en est remise à justice s'agissant de la plupart des griefs soulevés, a conclu à la confirmation de la décision attaquée. 3.2. Les frais judiciaires dus à l'Etat sont fixés forfaitairement à CHF 1'000.- (art. 95 al. 2 let. b CPC). 3.3. Conformément à l'art. 122 al. 1 let. d CPC, l'assistance judiciaire ne dispense pas de l'obligation de verser des dépens en cas de perte du procès. 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d'appel de A.________ seront arrêtés globalement à la somme de CHF 1'000.-, débours compris, plus la TVA par CHF 77.- (7.7% de CHF 1'000.-). 3.4. Selon l'art. 318 al. 3 CPC, le juge d'appel qui statue à nouveau doit se prononcer sur les frais de la procédure de première instance. En l'espèce, les parties n'ont pas remis en cause la répartition décidée par le premier juge et le sort de l'appel ne conduit pas à une modification de celle-ci. (dispositif en page suivante)</w:t>
      </w:r>
    </w:p>
    <w:p>
      <w:r>
        <w:t>Tribunal cantonal TC Page 10 de 10 la Cour arrête : I. L'appel est admis. Partant, les chiffres II et III du dispositif de la décision de mesures protectrices de l'union conjugale prononcée le 23 juillet 2021 par la Présidente du Tribunal civil de la Sarine sont modifiés comme suit : " II. A.________ contribuera à l'entretien de ses enfants C.________, D.________ et E.________ par le versement, en mains de B.________, des allocations familiales et des éventuelles allocations patronales qu'il perçoit en leur faveur. Ces allocations sont versées le 1er de chaque mois. III. Il est constaté que le coût d'entretien des enfants C.________, D.________ et E.________ est intégralement couvert. " II. Sous réserve de l'assistance judiciaire, les frais d'appel, dont notamment les frais judiciaires dus à l'Etat, fixés à CHF 1'000.-, sont mis à la charge de B.________. III. Les dépens d'appel de A.________ sont arrêtés à la somme de CHF 1'000.-, débours compris, mais TVA en sus par CHF 77.-.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25 novembre 2021/sze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