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429 vom 18. Dezember 2020</w:t>
      </w:r>
    </w:p>
    <w:p>
      <w:r>
        <w:t>FR Kantonsgericht, 2020-12-18, FR</w:t>
      </w:r>
    </w:p>
    <w:p>
      <w:r>
        <w:rPr>
          <w:b/>
        </w:rPr>
        <w:t xml:space="preserve">Quelle: </w:t>
      </w:r>
      <w:r>
        <w:t>https://mcp.opencaselaw.ch/entscheid/fr_gerichte_101_2020_429</w:t>
      </w:r>
    </w:p>
    <w:p>
      <w:r>
        <w:t>FR: FR_GERICHTE 101 2020 429 du 18 décembre 2020</w:t>
      </w:r>
    </w:p>
    <w:p>
      <w:r>
        <w:t>IT: FR_GERICHTE 101 2020 429 del 18 dicembre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26 octobre 2020 (DO/106). Déposés le 5 novembre 2020, l'appel a dès lors été interjeté en temps utile. Le mémoire est, de plus, dûment motivé et doté de conclusions. En outre, compte tenu des contributions d'entretien contestées en première instance, soit plus de CHF 3'500.- au total par mois, la valeur litigieuse au dernier état des conclusions est clairement supérieure à CHF 10'000.-. Il s'ensuit la recevabilité de l'appel.</w:t>
      </w:r>
    </w:p>
    <w:p>
      <w:r>
        <w:rPr>
          <w:b/>
        </w:rPr>
        <w:t>E. 1.2</w:t>
      </w:r>
    </w:p>
    <w:p>
      <w:r>
        <w:t>La procédure sommaire (art. 252 ss CPC) s'applique aux causes de mesures protectrices (art. 271 CPC), le tribunal établissant toutefois les faits d'office (maxime inquisitoire, art. 272 et 296 al. 1 CPC) et, s'agissant d'une question concernant des enfants mineurs, n'étant pas lié par les conclusions des parties (maxime d'office, art. 296 al. 3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dans la mesure où les époux ont été entendus en première instance et où le dossier paraît complet, il n'est pas nécessaire de les assigner à une audience.</w:t>
      </w:r>
    </w:p>
    <w:p>
      <w:r>
        <w:rPr>
          <w:b/>
        </w:rPr>
        <w:t>E. 1.5</w:t>
      </w:r>
    </w:p>
    <w:p>
      <w:r>
        <w:t>Vu les montants contestés en appel, comme la durée en l'état indéterminée des mesures prononcée, la valeur litigieuse pour un recours auprès du Tribunal fédéral paraît largement supérieure à CHF 30'000.- (art. 51 al. 1 let. a et al. 4 et art. 74 al. 1 let. b LTF).</w:t>
      </w:r>
    </w:p>
    <w:p>
      <w:r>
        <w:rPr>
          <w:b/>
        </w:rPr>
        <w:t>E. 2</w:t>
      </w:r>
    </w:p>
    <w:p>
      <w:r>
        <w:t>L'appelant conclut d'abord à la diminution des contributions d'entretien qu'il a été astreint à verser pour ses enfants.</w:t>
      </w:r>
    </w:p>
    <w:p>
      <w:r>
        <w:rPr>
          <w:b/>
        </w:rPr>
        <w:t>E. 2.1</w:t>
      </w:r>
    </w:p>
    <w:p>
      <w:r>
        <w:t>L'art. 285 al. 1 CC prévoit que la contribution en faveur de l'enfant doit correspondre aux besoins de celui-ci ainsi qu'à la situation et aux ressources des père et mère ; il est tenu compte de la fortune et des revenus de l'enfant. Ces différents critères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Par ailleurs, l'art. 285 al. 2 CC dispose que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w:t>
      </w:r>
    </w:p>
    <w:p>
      <w:r>
        <w:t>Tribunal cantonal TC Page 4 de 8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De plus, en matière de fixation de contributions d'entretien, le juge dispose d'un large pouvoir d'appréciation (ATF 138 III 289 consid. 11.1.1).</w:t>
      </w:r>
    </w:p>
    <w:p>
      <w:r>
        <w:rPr>
          <w:b/>
        </w:rPr>
        <w:t>E. 2.2.1</w:t>
      </w:r>
    </w:p>
    <w:p>
      <w:r>
        <w:t>En l'espèce, la première juge a retenu que l'appelant gagne au total, par deux emplois ainsi qu'une activité accessoire, CHF 8'440.30 net par mois, y compris la part aux 13èmes salaires mais hors allocations (décision attaquée, p. 12-13). Cette somme n'est pas critiquée en appel.</w:t>
      </w:r>
    </w:p>
    <w:p>
      <w:r>
        <w:rPr>
          <w:b/>
        </w:rPr>
        <w:t>E. 2.2.2</w:t>
      </w:r>
    </w:p>
    <w:p>
      <w:r>
        <w:t>Au niveau des charges du mari, la Présidente a pris en compte un total de CHF 3'242.10, y compris CHF 238.60 de frais de logement. A cet égard, elle a considéré que les époux sont copropriétaires de deux immeubles, l'un à F.________ et l'autre à G.________, ce dernier étant celui où habite l'appelant ; ces immeubles produisent des revenus locatifs mais, compte tenu des charges et notamment d'un remboursement mensuel de CHF 2'500.- à un oncle ayant consenti un prêt, un déficit mensuel de CHF 238.60 subsiste jusqu'en mai 2021, selon un tableau des revenus et charges des immeubles dont le mari a reconnu l'exactitude en audience du 9 décembre 2019. Pour la période postérieure, la charge de loyer a continué à être prise en compte malgré un bénéfice éventuel, compte tenu de l'incertitude liée à un projet de vente de l'un des immeubles (décision attaquée, p. 13 à 15). L'appelant critique ce raisonnement. Il fait valoir (appel, p. 8) que l'on ne discerne pas pour quelle raison la situation liée à l'immeuble de F.________ a été prise en compte dans la détermination de ses frais de logement à G.________ et ajoute que le remboursement de CHF 2'500.- par mois à l'oncle est opéré par lui seul, de sorte qu'il assume un coût de logement annuel de CHF 16'734.45 (CHF 1'394.55 par mois), soit la différence entre les loyers encaissés (CHF 60'120.-) et les charges payées (CHF 76'854.35). En première instance, l'épouse a allégué dans son mémoire du 1er juillet 2019 qu'au vu des revenus et charges des immeubles, un déficit mensuel de CHF 238.60 subsistait (DO/41-42). Entendu en audience du 9 décembre 2019, le mari a admis que ce tableau était correct ; il a précisé qu'il n'y a qu'un seul compte bancaire, sur lequel sont versés les loyers et duquel sont débitées toutes les charges, et que si le résultat est négatif actuellement, c'est en raison du remboursement mensuel de CHF 2'500.- à l'oncle (DO/65 verso). Il en découle qu'il a admis qu'un seul décompte soit effectué pour les revenus et charges des deux immeubles, de sorte qu'il est malvenu de s'en plaindre au stade de l'appel. Du reste, celui-ci se borne à renvoyer à un inventaire des revenus et charges produit en audience du 4 juillet 2019, sans préciser qu'ultérieurement le mari a admis l'exactitude d'un autre tableau récapitulatif et sans produire un quelconque document démontrant que ce dernier tableau serait erroné. De plus, le déficit de CHF 238.60 calculé par le mandataire de son épouse – qui inclut le remboursement de CHF 2'500.- par mois – a aussi été admis et l'on ne voit pas en quoi l'appelant serait prétérité par sa prise en compte même au-delà de mai 2021, étant relevé qu'il n'a jamais allégué que son épouse percevrait une part des loyers ou assumerait une part des charges, tout étant crédité et débité du même compte bancaire.</w:t>
      </w:r>
    </w:p>
    <w:p>
      <w:r>
        <w:rPr>
          <w:b/>
        </w:rPr>
        <w:t>E. 2.2.3</w:t>
      </w:r>
    </w:p>
    <w:p>
      <w:r>
        <w:t>Au vu de ce qui précède, l'établissement de la situation financière du mari est correct. C'est dès lors à juste titre que la Présidente a retenu qu'il dispose d'un solde mensuel de CHF 5'198.20, impôts payés.</w:t>
      </w:r>
    </w:p>
    <w:p>
      <w:r>
        <w:t>Tribunal cantonal TC Page 5 de 8</w:t>
      </w:r>
    </w:p>
    <w:p>
      <w:r>
        <w:rPr>
          <w:b/>
        </w:rPr>
        <w:t>E. 2.3</w:t>
      </w:r>
    </w:p>
    <w:p>
      <w:r>
        <w:t>S'agissant de l'épouse, la première juge a retenu qu'elle travaille à 40 % en tant qu'assistante médicale et gagne CHF 2'055.35 net par mois, y compris la part au 13ème salaire (décision attaquée, p. 12). L'appelant ne critique pas en soi ce revenu. Il élève cependant deux griefs. D'une part, il reproche à la Présidente d'avoir omis d'imputer à son épouse un revenu hypothétique correspondant à une activité à mi-temps (appel, p. 5 à 7). D'autre part, il soutient que, dans la mesure où les immeubles copropriété des époux produiront un bénéfice de CHF 2'261.40 à partir de juin 2021 et où le soi- disant projet de vente de l'un d'eux n'est pas documenté, il convient de retenir dès cette date la moitié du revenu locatif dans les ressources de l'intimée (appel, p. 4-5).</w:t>
      </w:r>
    </w:p>
    <w:p>
      <w:r>
        <w:rPr>
          <w:b/>
        </w:rPr>
        <w:t>E. 2.3.1</w:t>
      </w:r>
    </w:p>
    <w:p>
      <w:r>
        <w:t>S'il faut en principe, pour déterminer le revenu des époux, partir de leurs gains effectifs, le juge peut également prendre en considération un revenu hypothétique, dans la mesure où le conjoint en question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Si le juge entend exiger que l'un des époux reprenne une activité lucrative, il doit en principe lui accorder un délai d'adaptation approprié ; celui-ci doit être fixé en fonction des circonstances concrètes du cas particulier (arrêt TF 5A_651/2014 du 27 janvier 2015 consid. 3.1). Lorsque le conjoint exerçait déjà une activité lucrative et assumait son obligation d'entretien, il doit néanmoins entreprendre tout ce qui est en son pouvoir et en particulier exploiter pleinement sa capacité de gain pour pouvoir continuer à l'assumer (arrêt TF 5A_571/2018 du 14 septembre 2018 consid. 5.1.2).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De plus, la jurisprudence récente retient qu'il est en principe raisonnable d'attendre du parent gardien qu'il travaille à 50 % dès l'entrée de l'enfant cadet à l'école obligatoire, et à 80 % à partir du moment où celui-ci débute le degré secondaire (ATF 144 III 481 consid. 4.7.6 ; arrêt TC FR 101 2017 132 du 12 décembre 2017 consid. 3.2.3 in RFJ 2017 231).</w:t>
      </w:r>
    </w:p>
    <w:p>
      <w:r>
        <w:rPr>
          <w:b/>
        </w:rPr>
        <w:t>E. 2.3.2</w:t>
      </w:r>
    </w:p>
    <w:p>
      <w:r>
        <w:t>En l'espèce, l'épouse a allégué en première instance qu'elle travaille à 40 % comme assistante médicale pour le salaire retenu par la Présidente et le mari a admis cet allégué (DO/9 et 34). Il semble qu'elle exerçait déjà cette activité au même taux durant la vie commune, avec l'accord de l'appelant ; à tout le moins le contraire n'est-il pas prétendu. Il est vrai qu'au vu de l'âge de E.________ et de sa scolarisation, l'intimée pourrait théoriquement être astreinte à travailler à mi-temps. Il ne faut cependant pas perdre de vue qu'elle a la charge principale de trois enfants, âgés de 13 à 8 ans, qu'elle exerce déjà une activité à un taux proche de 50 % et, surtout, qu'elle réalise par son emploi un revenu relativement élevé par rapport à son taux d'activité. De plus, il n'est pas allégué qu'elle aurait la possibilité de travailler de manière plus étendue pour son employeur actuel, de sorte que, si l'on devait lui imposer un emploi à 50 %, elle devrait vraisemblablement changer de travail, avec le risque de gagner proportionnellement moins dès lors qu'elle serait nouvelle dans l'entreprise. Au final, il semble que la perspective de gagner sensiblement plus que son revenu actuel ne soit pas effectivement probable. Dans ces conditions, il est adéquat de faire abstraction d'un revenu hypothétique, qui plus est au stade des mesures protectrices de l'union conjugale. Au besoin, la question pourra être réexaminée dans une future procédure de divorce.</w:t>
      </w:r>
    </w:p>
    <w:p>
      <w:r>
        <w:t>Tribunal cantonal TC Page 6 de 8 Pour ce qui est de l'autre grief soulevé par l'appelant, il est vrai que, lorsque le remboursement du prêt à l'oncle de l'intimée sera terminé, les revenus locatifs générés par les immeubles des époux permettront a priori de dégager un bénéfice (supra, consid. 2.2.2 : – CHF 238.60 + CHF 2'500.- = CHF 2'261.40). Toutefois, comme déjà évoqué, il n'a jamais été prétendu que l'épouse percevrait une part de ce bénéfice, le mari ayant au contraire indiqué que les loyers étaient crédités sur un compte bancaire dont les charges étaient ensuite débitées. De plus, l'appelant oublie que, s'il fallait tenir compte de ce revenu pour son épouse, il faudrait également retenir l'autre moitié du bénéfice dans ses propres ressources. Une telle opération aboutirait à un résultat neutre, le disponible de chaque conjoint se trouvant augmenté dans la même mesure, voire serait au détriment de l'appelant pour qui plus aucun frais de logement ne pourrait être pris en compte. Dès lors, le fait que la première juge ait fait abstraction de cet élément futur ne prête pas le flanc à la critique.</w:t>
      </w:r>
    </w:p>
    <w:p>
      <w:r>
        <w:rPr>
          <w:b/>
        </w:rPr>
        <w:t>E. 2.3.3</w:t>
      </w:r>
    </w:p>
    <w:p>
      <w:r>
        <w:t>Pour le surplus, l'appelant ne critique pas les charges de son épouse. C'est dès lors à juste titre que la Présidente a retenu qu'elle dispose d'un solde mensuel de CHF 154.05, impôts payés.</w:t>
      </w:r>
    </w:p>
    <w:p>
      <w:r>
        <w:rPr>
          <w:b/>
        </w:rPr>
        <w:t>E. 2.4</w:t>
      </w:r>
    </w:p>
    <w:p>
      <w:r>
        <w:t>La première juge a calculé le coût des enfants sur la base des tabelles zurichoises, qu'elle a reprises à 100 % au vu des revenus des parents, après correction pour tenir compte de la part au loyer effective et sous déduction des allocations. Vu l'augmentation des allocations cantonales au 1er janvier 2020, elle a dès lors arrêté le coût des deux aînés à CHF 487.20/CHF 467.20 jusqu'à leurs 12 ans, puis à CHF 856.80, et celui de la cadette à CHF 467.20/CHF 447.20 puis à CHF 836.80 (décision attaquée, p. 14-15). L'appelant ne s'en prend pas à ces calculs, pas plus qu'il ne critique la répartition de ces coûts à hauteur de 97.1 % à sa charge, vu les disponibles respectifs des parents pris en compte. Partant, les pensions arrêtées pour les enfants C.________, D.________ et E.________ doivent être confirmées. L'appel est rejeté sur cette question.</w:t>
      </w:r>
    </w:p>
    <w:p>
      <w:r>
        <w:rPr>
          <w:b/>
        </w:rPr>
        <w:t>E. 3.1</w:t>
      </w:r>
    </w:p>
    <w:p>
      <w:r>
        <w:t>La première juge a partagé par la moitié le disponible des époux après prise en charge du coût des enfants. Elle a ainsi alloué à B.________ une pension mensuelle allant de CHF 1'820.- à CHF 1'300.- par mois, selon la période (décision attaquée, p. 15-16). L'appelant critique ce raisonnement. Il fait valoir qu'après déduction du coût des enfants et compte tenu d'une épargne à hauteur de CHF 1'500.- par mois, les époux disposaient du temps de la vie commune d'un standard de vie de CHF 7'500.- environ. Cette somme devant selon lui être affectée aux 2/3 en sa faveur, vu son activité professionnelle et les frais qui en découlent, seuls CHF 2'500.- correspondent aux besoins de l'intimée, qui serait en mesure de couvrir ce montant au moyen d'une activité à mi-temps. Partant, il conclut à ce que la pension pour son épouse soit fixée à CHF 600.- et prenne fin en juillet 2019 (appel, p. 9-10).</w:t>
      </w:r>
    </w:p>
    <w:p>
      <w:r>
        <w:rPr>
          <w:b/>
        </w:rPr>
        <w:t>E. 3.2</w:t>
      </w:r>
    </w:p>
    <w:p>
      <w:r>
        <w:t>L'art. 176 al. 1 ch. 1 CC dispose que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étant précisé que le minimum vital du débiteur doit être préservé dans tous les cas (ATF 140 III 337 consid. 4.2.1 et 4.3). La loi n'impose pas au juge de méthode de calcul particulière pour fixer la quotité de la contribution d'entretien en faveur de</w:t>
      </w:r>
    </w:p>
    <w:p>
      <w:r>
        <w:t>Tribunal cantonal TC Page 7 de 8 conjoint : la détermination de celle-ci relève du pouvoir d'appréciation du juge du fait, qui applique les règles du droit et de l'équité (arrêt TF 5A_817/2016 du 1er mai 2017 consid. 3.2.2). Lorsque la situation financière est favorable mais qu'il n'est pas établi que les époux auraient constitué des économies, la méthode de calcul en deux temps est adéquate ; dans celle-ci, le juge compare d'abord les besoins concrets de toutes les personnes avec les revenus globaux, puis répartit dans un deuxième temps l'excédent entre les époux (ATF 140 III 337 consid. 4.2.2). Celui-ci est, en règle générale, partagé par moitié entre eux, à moins que l'un des époux ne doive subvenir aux besoins d'enfants mineurs communs ou que des circonstances importantes ne justifient de s'écarter de cette clé de répartition ; de telles circonstances sont données, par exemple, lorsque les revenus d'un époux augmentent sensiblement peu après la séparation (arrêt TF 5A_861/2014 du 21 avril 2015 consid. 5 et 6). En l'espèce, même à suivre l'argument de l'appelant selon lequel, compte tenu d'une épargne de CHF 1'500.- par mois et du coût des enfants, le standard de vie connu par les époux du temps de la vie commune s'élèverait à CHF 7'500.-, il n'y a au dossier aucune raison de ne pas partager cette somme par la moitié entre eux, vu notamment la charge de logement quasiment inexistante du mari. Par conséquent, en octroyant à l'intimée – qui gagne par elle-même quelque CHF 2'000.- net par mois et ne peut être astreinte à augmenter ce revenu en l'état (supra, consid. 2.3.2) – une contribution d'entretien allant de CHF 1'820.- à CHF 1'300.-, la Présidente n'a pas outrepassé son large pouvoir d'appréciation, chaque conjoint ayant à sa disposition un montant plus ou moins équivalent. Au vu de ce qui précède, l'appel doit être rejeté aussi sur la question de l'entretien entre époux.</w:t>
      </w:r>
    </w:p>
    <w:p>
      <w:r>
        <w:rPr>
          <w:b/>
        </w:rPr>
        <w:t>E. 4.1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entièrement rejeté. Par conséquent, il se justifie d'en mettre les frais à la charge de A.________, en particulier les frais judiciaires dus à l'Etat, fixés à CHF 1'200.-. Ceux-ci seront prélevés sur l'avance versée par l'appelant (art. 111 al. 1 CPC).</w:t>
      </w:r>
    </w:p>
    <w:p>
      <w:r>
        <w:rPr>
          <w:b/>
        </w:rPr>
        <w:t>E. 4.2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pour la procédure d'appel seront arrêtés à la somme de CHF 1'500.-, débours compris, mais TVA en sus par CHF 115.50 (7.7 % de CHF 1'500.-). (dispositif en page suivante)</w:t>
      </w:r>
    </w:p>
    <w:p>
      <w:r>
        <w:t>Tribunal cantonal TC Page 8 de 8 la Cour arrête : I. L'appel est rejeté. Partant, les chiffres 6 et 7 de la décision prononcée le 6 octobre 2020 par la Présidente du Tribunal civil de la Gruyère sont confirmés. II. Les frais d'appel sont mis à la charge de A.________. Ils comprennent notamment les frais judiciaires dus à l'Etat, fixés à CHF 1'200.-, qui seront acquittés par prélèvement sur son avance de frais. III. Les dépens d'appel de B.________ sont arrêtés globalement à la somme de CHF 1'500.-, débours compris, mais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décembre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