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422 vom 29. Januar 2021</w:t>
      </w:r>
    </w:p>
    <w:p>
      <w:r>
        <w:t>FR Kantonsgericht, 2021-01-29, FR</w:t>
      </w:r>
    </w:p>
    <w:p>
      <w:r>
        <w:rPr>
          <w:b/>
        </w:rPr>
        <w:t xml:space="preserve">Quelle: </w:t>
      </w:r>
      <w:r>
        <w:t>https://mcp.opencaselaw.ch/entscheid/fr_gerichte_101_2020_422</w:t>
      </w:r>
    </w:p>
    <w:p>
      <w:r>
        <w:t>FR: FR_GERICHTE 101 2020 422 du 29 janvier 2021</w:t>
      </w:r>
    </w:p>
    <w:p>
      <w:r>
        <w:t>IT: FR_GERICHTE 101 2020 422 del 29 gennaio 2021</w:t>
      </w:r>
    </w:p>
    <w:p>
      <w:pPr>
        <w:pStyle w:val="Heading2"/>
      </w:pPr>
      <w:r>
        <w:t>Regeste</w:t>
      </w:r>
    </w:p>
    <w:p>
      <w:r>
        <w:t>Arrêt de la Ie Cour d'appel civil du Tribunal cantonal | Gemischter Vertrag</w:t>
      </w:r>
    </w:p>
    <w:p>
      <w:pPr>
        <w:pStyle w:val="Heading2"/>
      </w:pPr>
      <w:r>
        <w:t>Erwägungen</w:t>
      </w:r>
    </w:p>
    <w:p>
      <w:r>
        <w:rPr>
          <w:b/>
        </w:rPr>
        <w:t>E. 2</w:t>
      </w:r>
    </w:p>
    <w:p>
      <w:r>
        <w:t>février 2012 consid. 5); que l’art. 49 al. 2 CPC, invoqué par la recourante, exige que le magistrat ou le fonctionnaire judiciaire concerné se prononce sur la demande de récusation; que cette norme a typiquement été conçue pour la récusation d'un magistrat ou d'un fonctionnaire judiciaire et ne saurait dès lors s’appliquer telle quelle à la récusation d'un expert, que lorsque, comme en l’espèce, les motifs de récusation invoqués sont d’ordre strictement objectifs – l’impartialité subjective étant présumée (ATF 129 III 445 consid. 3.3.3; 128 V 82 consid. 2a) –, le magistrat en charge de l’instruction n’a pas à requérir la détermination des experts dont l’impartialité a été remise en cause; que, pour la même raison, le magistrat en charge de l’instruction n’a pas à requérir la contestation de l’expert visé par la requête de récusation avant de statuer (cf. art. 50 al. 1 in initio CPC); que l’art. 50 al. 1 in fine CPC, également invoqué par la recourante, exige que ce soit le tribunal qui statue sur la demande de récusation d’un magistrat ou d’un fonctionnaire judiciaire;</w:t>
      </w:r>
    </w:p>
    <w:p>
      <w:r>
        <w:t>Tribunal cantonal TC Page 4 de 6 que cette norme a également typiquement été conçue pour la récusation d'un magistrat ou d'un fonctionnaire judiciaire et ne saurait dès lors s’appliquer telle quelle à la récusation d'un expert; qu’au demeurant, la récusation d’un magistrat ou d’un fonctionnaire judiciaire peut, dans certaines situations, être prononcée par un juge unique (art. 18 al. 2 let. b et d de la loi sur la justice du 31 mai 2012 [LJ; RSF 130.1]); que la « distance » dont dispose le magistrat en charge de l’instruction par rapport à un expert est à tout le moins aussi importante que celle dont dispose un tribunal par rapport à l’un de ses membres et que ledit magistrat apparaît donc compétent pour statuer sur la requête de récusation d’un expert à l’aune de la disposition susmentionnée; qu’en outre, selon l’art. 131, dans les affaires relevant de la compétence d’une autorité collégiale, le président ou la présidente assume la conduite du procès si celle-ci n’est pas déléguée à l’un des membres du tribunal, que le président ou la présidente est dès lors compétent(e) pour désigner un expert et par conséquent également, en application de l’art. 12 al. 2 let. c LJ, pour statuer sur sa récusation; qu’en ce qui concerne les motifs de récusation, l’art. 47 al. 1 let. f CPC dispose que le magistrat ou le fonctionnaire judiciaire, respectivement l’expert (par le truchement de l’art. 183 al. 2 CPC), se récusent lorsqu’ils pourraient être prévenus de toute autre manière; que, ainsi que nous allons le voir, la question de savoir si l’UIA a ou non pour vocation de défendre la profession d’architecte n’est pas déterminante in casu; que le grief de la constatation manifestement inexacte des faits (art. 320 let. b CPC) invoqué par la recourante tombe ainsi à faux; que, s’agissant du motif même de récusation invoqué par la recourante, soit le fait que D.________ soit E.________ de l'UIA ou encore F.________ de la SIA et ait ainsi pour mandat de défendre les intérêts des architectes, force est de reconnaître qu’il s’agit là, non pas d’indications de prévention, mais tout au contraire de reconnaissances concrètes de la compétence et de l’expertise de la personne concernée; que, dans le cadre de la procédure au fond, l’expert désigné devra déterminer les travaux réalisés par l’intimée et les éventuels défauts de conception, de gestion et de réalisation de l’ouvrage, ainsi que les éventuelles conséquences du retard de livraison de l’ouvrage; qu’il ne s’agira donc en rien de soutenir la profession d’architecte in abstracto et de défendre le rôle de l’architecte par rapport à d’autres professions émergeantes, mais bien plutôt d’examiner et d’évaluer le travail réalisé par un architecte in concreto; rien ne laisse supposer que D.________ ne saura pas faire la part des choses; que si l’on devait suivre le raisonnement tenu par la recourante, le fait pour un professionnel d’accepter un mandat au sein d’un organisme de référence de sa profession l’empêcherait automatiquement de dorénavant fonctionner comme expert judiciaire dans son domaine d’activité, ce qui ne saurait raisonnablement se concevoir; que, par ailleurs et conformément à l’art. 326 al. 1 CPC, les conclusions, les allégations de faits et les preuves nouvelles sont irrecevables en procédure de recours, de sorte qu’en l’occurrence, les faits et nouveaux moyens de preuve invoqués par la recourante ne peuvent être pris en considération;</w:t>
      </w:r>
    </w:p>
    <w:p>
      <w:r>
        <w:t>Tribunal cantonal TC Page 5 de 6 que tel est le cas en particulier de l’interview donné à une date non précisée mais vraisemblablement dans le courant de l’automne 2017 par D.________ et lors duquel ce dernier aurait tenu des propos démontrant qu’il prend à cœur de défendre les intérêts des architectes; qu’enfin, la question de savoir si les parties ont convenu d’un mode de rémunération dérogeant au système prévu par la SIA est une question de droit, qui n’est pas du ressort de l’expert; que la Cour de céans rejoint ainsi l’avis de la Présidente, lorsqu’elle retient que D.________ présente « le profil idéalement recherché pour mener à bien les expertises ordonnées »; que le recours doit donc être rejeté; que, vu le sort du litige, les frais doivent être mis à la charge de la recourante, qui succombe (art. 106 al. 1 CPC); que les frais judiciaires sont fixés forfaitairement à CHF 1'000.- (art. 95 al. 2 let. b CPC), conformément au tarif applicable (art. 10 ss et 19 du règlement sur la justice du 30 novembre 2010 [RJ; RSF 130.11]) et seront prélevés sur l’avance de frais prestée par la recourante; que selon l'art. 105 al. 2 CPC, le tribunal fixe les dépens selon le tarif, soit le RJ. En cas de fixation globale, comme en l'espèce pour un recours au sens de l'art. 319 let. b CPC, l’autorité tient compte notamment de la nature, de la difficulté et de l’ampleur de la procédure et du travail nécessaire de l’avocat, ainsi que de l’intérêt et de la situation économiques des parties (art. 63 al. 2 RJ, applicable par le truchement de l'art. 105 al. 2 CPC). L'indemnité maximale relative à un tel recours s'élève à CHF 3'000.-, montant pouvant être doublé si des circonstances particulières le justifient (art. 64 al. 1 let. g et al. 2 RJ); qu'en l'espèce, compte tenu de ces critères et du volume du recours auquel l'intimée a dû répondre, il se justifie de fixer les dépens de cette partie pour l'instance de recours à CHF 1'500.-, débours compris, plus TVA - au taux en vigueur au moment de la préparation du mémoire de réponse 7.7 % par CHF 115.50, soit à un total de CHF 1'615.50; (dispositif en page suivante)</w:t>
      </w:r>
    </w:p>
    <w:p>
      <w:r>
        <w:t>Tribunal cantonal TC Page 6 de 6 la Cour arrête : I. Le recours est rejeté.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