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157 vom 8. Oktober 2020</w:t>
      </w:r>
    </w:p>
    <w:p>
      <w:r>
        <w:t>FR Kantonsgericht, 2020-10-08, FR</w:t>
      </w:r>
    </w:p>
    <w:p>
      <w:r>
        <w:rPr>
          <w:b/>
        </w:rPr>
        <w:t xml:space="preserve">Quelle: </w:t>
      </w:r>
      <w:r>
        <w:t>https://mcp.opencaselaw.ch/entscheid/fr_gerichte_101_2020_157</w:t>
      </w:r>
    </w:p>
    <w:p>
      <w:r>
        <w:t>FR: FR_GERICHTE 101 2020 157 du 8 octobre 2020</w:t>
      </w:r>
    </w:p>
    <w:p>
      <w:r>
        <w:t>IT: FR_GERICHTE 101 2020 157 del 8 ottobre 2020</w:t>
      </w:r>
    </w:p>
    <w:p>
      <w:pPr>
        <w:pStyle w:val="Heading2"/>
      </w:pPr>
      <w:r>
        <w:t>Regeste</w:t>
      </w:r>
    </w:p>
    <w:p>
      <w:r>
        <w:t>Arrêt de la Ie Cour d'appel civil du Tribunal cantonal | Eheschutzmassnahmen</w:t>
      </w:r>
    </w:p>
    <w:p>
      <w:pPr>
        <w:pStyle w:val="Heading2"/>
      </w:pPr>
      <w:r>
        <w:t>Erwägungen</w:t>
      </w:r>
    </w:p>
    <w:p>
      <w:r>
        <w:rPr>
          <w:b/>
        </w:rPr>
        <w:t>E. 16</w:t>
      </w:r>
    </w:p>
    <w:p>
      <w:r>
        <w:t>octobre au 31 décembre 2019, puis CHF 580.- pour C.________, CHF 640.- pour D.________ et CHF 340.- pour E.________ dès le 1er janvier 2020. Quant à la pension due à l'épouse, il conclut à ce qu'elle soit réduite à CHF 550.- du 16 octobre au 31 décembre 2019, respectivement CHF 630.- dès le 1er janvier 2020. C. Dans sa réponse du 13 mai 2020, B.________ conclut au rejet de l'appel. en droit 1. 1.1.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6 avril 2020. Déposé le 16 avril 2020, l'appel a dès lors été interjeté en temps utile. Le mémoire est, de plus, dûment motivé et doté de conclusions. En outre, vu les contributions d'entretien réclamées en première instance par l'épouse tant pour les enfants que pour elle-même, en partie contestées par le mari, de même que la durée indéterminée des mesures prononcées,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En revanche, la contribution d'entretien entre époux est régie par le principe de disposition (art. 58 CPC).</w:t>
      </w:r>
    </w:p>
    <w:p>
      <w:r>
        <w:t>Tribunal cantonal TC Page 3 de 6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 jurisprudence la plus récente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1.5. Selon l'art. 316 al. 1 CPC, la Cour d'appel peut ordonner des débats ou statuer sur pièces. En l'espèce, vu l'objet de l'appel, l'audition des époux en première instance, comme le fait que toutes les pièces nécessaires à son traitement figurent au dossier, il n'est pas utile d'assigner les parties à une audience. 1.6. Vu les montants contestés en appel, comme la durée en l'état indéterminée des mesures prononcées, la valeur litigieuse pour un recours au Tribunal fédéral paraît supérieure à CHF 30'000.- (art. 51 al. 1 let. a et al. 4 LTF). 2. L'appelant remet en cause les montants des contributions d'entretien dues aux enfants et à l'épouse. 2.1. 2.1.1.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2.1.2. Quant à la contribution en faveur de l'enfant, l'art. 285 al. 1 CC prévoit, dans sa nouvelle teneur depuis le 1er janvier 2017, que celle-ci doit correspondre aux besoins de l'enfant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w:t>
      </w:r>
    </w:p>
    <w:p>
      <w:r>
        <w:t>Tribunal cantonal TC Page 4 de 6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in RFJ 2017 41). 2.2. En l'espèce, le premier juge a établi les revenus et charges des époux, fixé le coût d'entretien des enfants et, par voie de conséquence, les pensions dues par le père en fonction des disponibles respectifs des parents, puis appliqué la méthode du partage de l'excédent pour la contribution due à l'épouse. Ce procédé n'est pas contesté en appel. Pour fixer les pensions, le Président du Tribunal a ainsi retenu que le mari réalisait un salaire mensuel net total de CHF 8'965.45, comprenant son revenu en tant qu'enseignant par CHF 7'996.45 et celui dégagé par son activité accessoire par CHF 969.-. Après déduction de ses charges, il a compté avec un disponible de CHF 4'949.75 avant impôts. Quant à l'épouse, le Président du Tribunal a pris en compte un revenu mensuel net de CHF 4'027.45 et, après déduction de ses charges, un disponible avant impôts de CHF 1'020.85 (décision attaquée p. 9-13). L'appelant remet en cause cet état de fait uniquement sous l'angle de la charge fiscale et des cotisations AVS/CAF pour indépendants, charges non considérées par le premier juge. 2.3. Concernant la charge fiscale, il faut admettre avec l'appelant que selon la jurisprudence, lorsque la contribution est calculée conformément à la méthode du minimum vital avec répartition de l'excédent et que les conditions financières des parties sont favorables, ce qui est le cas en l'espèce, il faut tenir compte de leurs charges fiscales respectives (ATF 140 III 337 consid. 4.2.3 et 4.4), à tout le moins approximativement. Or, le premier juge n'a pas retenu la charge fiscale du mari, étant cependant relevé qu'il ne l'a pas davantage retenue chez l'intimée. Cela étant, l'intimée ne saurait être suivie lorsqu'elle affirme (réponse p. 10) que les charges fiscales des deux époux vont s'équilibrer: même si le parent débirentier peut déduire fiscalement les contributions d'entretien, que le crédirentier doit déclarer, il est en effet notoire que le parent gardien bénéficie de déductions sociales pour les enfants à charge et, en outre, n'est taxé qu'à un taux correspondant à la moitié de celui auquel l'autre parent est imposé, de sorte qu'à revenus déterminants égaux, la cote d'impôts est sensiblement différente. Dans le cas particulier, les pièces au dossier ne permettent pas de déterminer aisément la charge fiscale respective des parties, qui dépend précisément, entre autres, des pensions à fixer. A cet égard, il est cependant relevé que si l'on tient compte des contributions d'entretien fixées par le premier juge (soit CHF 35'400.- par an, à déduire du revenu imposable du mari, respectivement à ajouter dans les revenus de l'épouse), sans toutefois prendre en considération les déductions fiscalement admissibles, la charge fiscale des deux parties s'établit à CHF 1'100.- pour le mari, contre CHF 970.- pour l'épouse (https://www.fr.ch/impots/personnes-physiques/calculer-ses-impots [consulté le 28 septembre 2020]). A l'inverse, sans tenir compte d'éventuelles contributions d'entretien, ni les déductions fiscalement admissibles, avec un revenu annuel de CHF 107'585.- (CHF 8'965.45 x 12), la charge fiscale mensuelle de l'époux s'établirait à quelque CHF 1'800.-, contre CHF 400.- pour l'épouse. C'est dire si la prise en compte des impôts risquerait de se révéler</w:t>
      </w:r>
    </w:p>
    <w:p>
      <w:r>
        <w:t>Tribunal cantonal TC Page 5 de 6 trop aléatoire et de prétériter l'une ou l'autre des parties. Dans ces conditions, il semble adéquat, au stade des mesures protectrices de l'union conjugale, de renoncer à déterminer la charge fiscale respective des époux. Néanmoins, il sera tenu compte (infra consid. 2.7) de leur probable différence d'impôts au moment de partager les soldes disponibles entre eux, en s'écartant d'une répartition par la moitié, qui constitue la limite supérieure du droit à l'entretien (cf. ATF 140 cité supra consid. 2.1.1). 2.4. Quant à la critique de l'appelant relative aux cotisations AVS/CAF pour indépendants non prises en compte dans la décision querellée, la différence en résultant dans ses charges, alléguée à hauteur d'un peu plus de CHF 50.- par mois (appel p. 6), est minime et ne justifie pas une admission de l'appel sur cette question, ce d'autant que des frais d'acquisition du matériel pour l'exercice de son activité indépendante ont été retenus à concurrence de CHF 1'052.35 par an, alors qu'il ne sont pas forcément amenés à se renouveler. 2.5. Il résulte de ce qui précède que les soldes respectifs des parties avant impôts peuvent être confirmés. 2.6. Enfin, s'agissant du coût d'entretien des enfants calculé par le premier juge selon la méthode du minimum vital élargi (montant de base, prime d'assurance-maladie, part au logement; cf. décision attaquée p. 11), il y a lieu de relever que le minimum vital du droit des poursuites n'a pas été majoré, alors que la Cour a déjà jugé à plusieurs reprises qu'il devait l'être à hauteur de 20%, le minimum vital LP (CHF 400.- pour un enfant jusqu'à 10 ans, CHF 600.- par la suite) ne comprenant pas seulement les besoins strictement nécessaires comme l'alimentation, les vêtements, les soins corporels, etc., mais également un montant pour les frais culturels et les besoins immatériels (ainsi arrêts TC FR 101 2019 402 du 4 mars 2020 consid. 2.5; 101 2019 196 du 5 mars 2020 consid. 3.6; 101 2019 389 du 23 septembre 2020 consid. 2.4.1). Cela étant, dans la mesure où, en l'espèce, une somme mensuelle de CHF 100.- a été retenue en sus pour les loisirs, le coût d'entretien tel que calculé peut être confirmé. Par conséquent, les pensions dues en faveur de C.________, D.________ et E.________ seront également confirmées. A toutes fins utiles, l'on précisera que l'entretien convenable de ces derniers (art. 301a let. c CPC) au sens du Code civil suisse est garanti. 2.7. Reste à déterminer l'incidence de la charge fiscale sur la contribution due à l'épouse (cf. supra consid. 2.3). Afin de tenir compte précisément de la différence d'impôts des parties, il convient de répartir les soldes respectifs des époux à hauteur de 3/5 en faveur du mari et de 2/5 pour l'épouse. Compte tenu du disponible cumulé des parents après prise en compte de l'entretien des enfants – soit CHF 4'949.75 - CHF 1'650.- (pensions) pour lui et CHF 1'020.85 - CHF 308.15 (coût résiduel) pour elle (décision attaquée p. 12) –, qui s'élève à CHF 4'012.45 (CHF 3'299.75 + CHF 712.70), l'épouse ayant droit à 2/5 de ce disponible cumulé, soit CHF 1'605.-, et ayant elle- même un solde de CHF 712.70, elle peut prétendre à une contribution d'entretien de CHF 892.30, arrondie à CHF 900.-, montant inférieur à celui précédemment fixé par le premier juge. 2.8. Il s'ensuit l'admission partielle de l'appel dans le sens évoqué. 3. 3.1.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6 de 6 3.2. En l'espèce, l'appelant a partiellement gain de cause, l'un de ses griefs étant admis en partie et la contribution d'entretien en faveur de son épouse étant recalculée. Dans ces conditions, il se justifie que chaque partie supporte ses propres dépens d'appel et assume la moitié des frais judiciaires dus à l'Etat, fixés à CHF 1'200.-. Indépendamment de cette attribution, les frais de justice seront toutefois acquittés par prélèvement sur l'avance versée par A.________, qui pourra obtenir le remboursement de la somme de CHF 600.- de la part de son épouse (art. 111 al. 1 et 2 CPC). 3.3.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la Cour arrête : I. L'appel est partiellement admis. Partant, le chiffre 6 du dispositif de la décision prononcée le 21 janvier 2020 par le Président du Tribunal civil de la Sarine est modifié pour prendre la teneur suivante: " 6. A.________ contribue à l'entretien de B.________ par le versement d'une pension mensuelle de CHF 900.- dès le 16 octobre 2019. " Pour le surplus, le reste de ce dispositif est confirmé. II. Chaque partie supporte ses propres dépens d'appel et assume la moitié des frais judiciaires dus à l'Etat, fixés à CHF 1'200.-. Indépendamment de cette répartition, les frais de justice seront prélevés sur l'avance versée par A.________, qui pourra obtenir le remboursement de la somme de CHF 600.- de la part de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octobre 2020/sze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