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59 vom 28. Mai 2019</w:t>
      </w:r>
    </w:p>
    <w:p>
      <w:r>
        <w:t>FR Kantonsgericht, 2019-05-28, DE</w:t>
      </w:r>
    </w:p>
    <w:p>
      <w:r>
        <w:rPr>
          <w:b/>
        </w:rPr>
        <w:t xml:space="preserve">Quelle: </w:t>
      </w:r>
      <w:r>
        <w:t>https://mcp.opencaselaw.ch/entscheid/fr_gerichte_101_2019_59</w:t>
      </w:r>
    </w:p>
    <w:p>
      <w:r>
        <w:t>FR: FR_GERICHTE 101 2019 59 du 28 mai 2019</w:t>
      </w:r>
    </w:p>
    <w:p>
      <w:r>
        <w:t>IT: FR_GERICHTE 101 2019 59 del 28 maggio 2019</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ou un changement de défenseur d'office est sujette à recours, en application des art. 121 et 319 CPC. Le délai pour interjeter recours contre une décision prise en procédure sommaire, comme en l’espèce (art. 119 al. 3 CPC), est de dix jours à compter de sa notification (art. 321 al. 2 CPC). Déposé le 21 février 2019, le recours respecte ce délai, la décision attaquée ayant été notifiée à la recourante le 12 février 2019.</w:t>
      </w:r>
    </w:p>
    <w:p>
      <w:r>
        <w:rPr>
          <w:b/>
        </w:rPr>
        <w:t>E. 1.2</w:t>
      </w:r>
    </w:p>
    <w:p>
      <w:r>
        <w:t>La cognition de la Cour d'appel est pleine et entière en droit ; s'agissant des faits, elle est en revanche limitée à leur constatation manifestement inexacte (art. 320 CPC).</w:t>
      </w:r>
    </w:p>
    <w:p>
      <w:r>
        <w:rPr>
          <w:b/>
        </w:rPr>
        <w:t>E. 1.3</w:t>
      </w:r>
    </w:p>
    <w:p>
      <w:r>
        <w:t>En application de l'art. 327 al. 2 CPC, l’instance de recours peut statuer sur pièces, sans tenir audience.</w:t>
      </w:r>
    </w:p>
    <w:p>
      <w:r>
        <w:rPr>
          <w:b/>
        </w:rPr>
        <w:t>E. 1.4</w:t>
      </w:r>
    </w:p>
    <w:p>
      <w:r>
        <w:t>La décision ordonnant un changement d'avocat d'office constitue une décision incidente ne pouvant faire l'objet d'un recours au Tribunal fédéral que si elle peut causer un préjudice irréparable au sens de l'art. 93 al. 1 let. a LTF. La partie recourante doit se trouver exposée à un dommage de nature juridique, qui ne puisse pas être réparé ultérieurement par un jugement final ou une autre décision qui lui serait favorable (ATF 136 IV 92 consid. 4). Une décision relative à une demande de changement d'avocat d'office n'est pas toujours susceptible de causer un préjudice irréparable. Lorsque, comme en l'occurrence, l'autorité compétente refuse une requête de la partie assistée tendant à ce qu'il soit mis fin à la mission du défenseur d'office (et éventuellement à ce qu'un nouveau défenseur soit désigné), cette partie conserve son avocat. Sauf circonstances spéciales, l'atteinte à la relation de confiance n'empêche pas dans une telle situation une défense efficace; c'est pourquoi la partie ne subit pas un dommage de nature juridique (arrêt TF 1B_72/2016 du 3 mars 2016 consid. 1.1 et 1.2 ; ATF 133 IV 335 consid. 4). Ainsi, seule la voie du recours constitutionnel subsidiaire au Tribunal fédéral est ouverte. Tribunal cantonal TC Page 4 de 6</w:t>
      </w:r>
    </w:p>
    <w:p>
      <w:r>
        <w:rPr>
          <w:b/>
        </w:rPr>
        <w:t>E. 2.1</w:t>
      </w:r>
    </w:p>
    <w:p>
      <w:r>
        <w:t>Selon la jurisprudence, l’avocat commis d’office exerce une tâche étatique régie par le droit public cantonal. Il s’ensuit qu’une fois l’avocat désigné, le "client" ne peut plus résilier le mandat, pas davantage que le défenseur ne peut le répudier, l’un et l’autre pouvant seulement demander à l’autorité compétente de bien vouloir y mettre fin. Il ne sera donné suite à une telle requête qu’en cas de circonstances exceptionnelles, tel un comportement inadmissible de l’assisté ou du mandataire d’office représentant une atteinte irrémédiable à la relation de confiance. Le caractère exceptionnel des motifs de refus ou de résiliation vise des causes objectives faisant apparaître qu’une représentation efficace des intérêts de l’ayant droit n’est plus garantie. Ainsi, une volonté commune de l’avocat et du bénéficiaire de l’assistance judiciaire, en raison par exemple de divergences, ne suffit pas, de même que les doutes que celui-ci nourrirait sur les capacités de son avocat ou sur sa personnalité, ou encore le fait que l’avocat ne pense pas pouvoir assister son client de manière satisfaisante ou considère que ses convictions personnelles lui interdisent d’assumer la défense de certaines infractions. Seuls des motifs légitimes permettent ainsi un changement de défenseur d'office, tel un conflit d’intérêt, un litige important ou une rupture grave du lien de confiance entre l’avocat et le bénéficiaire. Il découle de ces principes que le bénéficiaire de l’assistance judiciaire ne saurait, au gré de sa volonté, demander qu’un nouvel avocat d’office soit désigné. En effet, un tel changement implique des frais d’avocat accrus, puisque le nouveau mandataire doit prendre connaissance du dossier avant d’être en mesure de représenter correctement son client. Dans cette perspective, le plaideur raisonnable ne se résoudra à changer d’avocat qu’en dernière extrémité, lorsqu’il ne sera plus en mesure de tolérer la manière d’agir ou l’inactivité de son mandataire. Il supportera en revanche que son avocat ne reprenne pas à son compte toutes ses idées et suggestions, sachant que l’avocat est mieux placé que lui pour décider de la stratégie à suivre afin de défendre judicieusement ses intérêts (arrêt TC FR 102 2013 250 du 29 novembre 2013 consid. 2a). En vertu de l'art. 12 let. a de la loi fédérale sur la libre circulation des avocats (loi sur les avocats, LLCA; RS 935.61), l'avocat doit exercer sa profession avec soin et diligence. La fidèle exécution du mandat implique assurément que l'avocat doit suivre les instructions de son mandant d'office, mais son indépendance lui impose d'éviter d'épouser les passions de ce dernier et de ne pas se laisser aveugler pas des requêtes déraisonnables ou le conduisant à entreprendre des démarches manifestement infondées (VALTICOS, in Commentaire romand, Loi sur les avocats, 2010, art. 12 n. 27). En définitive, il appartient au bénéficiaire de l'assistance judiciaire de rendre vraisemblable l'existence de faits objectifs et sérieux – et non de simples considérations purement subjectives – qui ont entraîné la rupture définitive du lien de confiance, et qui justifient que l'avocat soit déchargé de son mandat d’office (arrêt TC FR 102 2012 93 du 15 juin 2012 consid. 2b in RFJ 2012 169). Selon la jurisprudence, le simple fait que la partie assistée n'a pas confiance dans son conseil d'office ne lui donne ainsi pas le droit d'en demander le remplacement lorsque cette perte de confiance repose sur des motifs purement subjectifs et qu'il n'apparaît pas de manière patente que l'attitude de l'avocat d'office est gravement préjudiciable aux intérêts de la partie (ATF 114 Ia 101 consid. 3).</w:t>
      </w:r>
    </w:p>
    <w:p>
      <w:r>
        <w:rPr>
          <w:b/>
        </w:rPr>
        <w:t>E. 2.2</w:t>
      </w:r>
    </w:p>
    <w:p>
      <w:r>
        <w:t>En l'espèce, il s'agit de déterminer si la perte de confiance invoquée par la recourante justifie un changement de son mandataire d'office. En outre, il faut examiner si les divergences d'opinion dans la manière de gérer le dossier qui émaillent la relation entre la recourante et son avocat, peuvent constituer un motif objectif engendrant une rupture grave du lien de confiance entre l'avocat et le bénéficiaire. Tribunal cantonal TC Page 5 de 6 Au vu des écritures de la recourante, il y a lieu d'admettre que le lien de confiance avec Me B.________ a été ébranlé suite à l'arrivée de l'échéance fixée dans la convention du 13 août 2018 entre les cohéritiers pour la vente de l'immeuble et à l'absence de vente effective à ce jour. Cependant, force est de constater que Me B.________, comme il a pu le démontrer dans ses déterminations, n'a rien à se reprocher d'un point de vue objectif dans l'exercice de son mandat. Au contraire, exerçant ses tâches avec soin, diligence et indépendance, il a jusqu'à présent entrepris de nombreuses démarches dans le but d'aboutir à une vente de l'immeuble concerné dans les meilleurs délais et au meilleur prix, prenant ainsi soin des intérêts de la recourante. Le fait que la vente, pour des raisons extérieures au pouvoir d'action du mandataire, n'ait pas encore été conclue, ne constitue pas un fait objectif permettant de conclure à une rupture grave du lien de confiance. En outre, les reproches formulés à son encontre concernant son manque d'information semblent infondés au vu des nombreux courriels et autres lettres échangés avec la sœur de A.________, F.________, au bénéfice d'une procuration générale concernant la gestion de ses affaires. Ainsi, les raisons invoquées par la bénéficiaire de l'assistance judiciaire à l'appui de sa requête de changement de défenseur ne reposent pas sur des faits objectifs et sérieux, mais sur des considérations purement subjectives. Enfin, au vu de l'ampleur du dossier et du stade avancé des négociations, un changement impliquerait des frais d’avocat accrus, puisque le nouveau mandataire devrait prendre connaissance du dossier avant d’être en mesure de représenter correctement sa cliente. Au vu de l'ensemble de ce qui précède, c'est à juste titre que la Présidente a refusé de donner suite à la requête de A.________ tendant au changement de son mandataire d'office. Il s'ensuit le rejet du recours.</w:t>
      </w:r>
    </w:p>
    <w:p>
      <w:r>
        <w:rPr>
          <w:b/>
        </w:rPr>
        <w:t>E. 3</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de la recourante qui succombe (art. 106 al. 1 CPC). Ils comprennent les frais judiciaires dus à l'Etat, fixés forfaitairement à CHF 200.-. Il n'est pas alloué de dépens aux intéressés, Me B.________ n'ayant pas eu recours à un mandataire (art. 95 al. 3 let. b CPC) et les autres intéressées n'ayant pas été invitées à se déterminer. (dispositif en page suivante) Tribunal cantonal TC Page 6 de 6 la Cour arrête : I. Le recours est rejeté. Partant, la décision du 11 février 2019 de la Présidente du Tribunal civil de l'arrondissement de la Sarine est confirmée. II. Les frais de la procédure de recours, fixés forfaitairement à CHF 200.-, sont mis à la charge de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mai 2019/adu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