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402 vom 4. März 2020</w:t>
      </w:r>
    </w:p>
    <w:p>
      <w:r>
        <w:t>FR Kantonsgericht, 2020-03-04, FR</w:t>
      </w:r>
    </w:p>
    <w:p>
      <w:r>
        <w:rPr>
          <w:b/>
        </w:rPr>
        <w:t xml:space="preserve">Quelle: </w:t>
      </w:r>
      <w:r>
        <w:t>https://mcp.opencaselaw.ch/entscheid/fr_gerichte_101_2019_402</w:t>
      </w:r>
    </w:p>
    <w:p>
      <w:r>
        <w:t>FR: FR_GERICHTE 101 2019 402 du 4 mars 2020</w:t>
      </w:r>
    </w:p>
    <w:p>
      <w:r>
        <w:t>IT: FR_GERICHTE 101 2019 402 del 4 marzo 2020</w:t>
      </w:r>
    </w:p>
    <w:p>
      <w:pPr>
        <w:pStyle w:val="Heading2"/>
      </w:pPr>
      <w:r>
        <w:t>Regeste</w:t>
      </w:r>
    </w:p>
    <w:p>
      <w:r>
        <w:t>Arrêt de la Ie Cour d'appel civil du Tribunal cantonal | Eheschutzmassnahmen</w:t>
      </w:r>
    </w:p>
    <w:p>
      <w:pPr>
        <w:pStyle w:val="Heading2"/>
      </w:pPr>
      <w:r>
        <w:t>Erwägungen</w:t>
      </w:r>
    </w:p>
    <w:p>
      <w:r>
        <w:rPr>
          <w:b/>
        </w:rPr>
        <w:t>E. 12</w:t>
      </w:r>
    </w:p>
    <w:p>
      <w:r>
        <w:t>novembre 2019, il a conclu à ce que le montant des pensions qu'il doit verser en faveur de ses enfants soit ramené à CHF 0.- tant qu'il bénéficie des prestations de l'aide sociale. Quant à elle, B.________ a conclu au rejet de la demande. Par décision du 22 novembre 2019, le Président a homologué l'accord des parties concernant l'exercice du droit de visite de A.________ et a partiellement admis sa requête pour le surplus. Il a astreint A.________ à contribuer à l'entretien de ses enfants par le versement, pour chacun d'eux, d'une pension mensuelle de CHF 620.-, allocations familiales et employeur en sus, dès le 1er août 2019. B. Par mémoire du 12 décembre 2019, A.________ a interjeté appel contre la décision du 22 novembre 2019. Il conclut, sous suite de frais, principalement à l'exemption du paiement de toute contribution d'entretien en faveur de ses enfants à compter du 1er août 2019, subsidiairement au versement, pour chacun des enfants, d'une pension mensuelle de CHF 350.- par mois, allocations familiales en sus, dès le 1er août 2019, plus subsidiairement au versement, pour chacun des enfants, d'une pension mensuelle de CHF 545.- par mois, allocations familiales en sus, dès le 1er août 2019. Subsidiairement, il conclut à l'annulation et au renvoi de la cause au Président du Tribunal de l'arrondissement de la Glâne pour nouvelle décision. Il a aussi demandé l'assistance judiciaire. Par courrier du 15 janvier 2020 de son avocate, B.________ conclut au rejet de l'appel, sous suite de frais. Elle sollicite également l'assistance judiciaire. L'assistance judiciaire a été octroyée aux deux parties. en droit 1. 1.1. L'appel est recevable notamment contre les décisions finales de première instance, pour autant que, dans les affaires patrimoniales, la valeur litigieuse au dernier état des conclusions soit</w:t>
      </w:r>
    </w:p>
    <w:p>
      <w:r>
        <w:t>Tribunal cantonal TC Page 3 de 9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2 décembre 2019. Déposé le 12 décembre 2019, l'appel a dès lors été interjeté en temps utile. Il est dûment motivé et doté de conclusions. 1.2. La procédure sommaire (art. 252 ss CPC) s'applique aux causes de mesures protectrices (art. 271 CPC), le tribunal établissant toutefois les faits d'office (maxime inquisitoire, art. 272 et 296 al. 1 CPC) et, s'agissant d'une question concernant des enfants mineurs, n'étant pas lié par les conclusions des parties (maxime d'office, art. 296 al. 3 CPC). 1.3. La cognition de la Cour d'appel est pleine et entière, en fait comme en droit (art. 310 CPC). 1.4. Selon la jurisprudence la plus récente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1.5. En outre, vu la contribution d'entretien requise en faveur de chacun des enfants en première instance et la durée indéterminée des mesures prononcées, la valeur litigieuse en appel est manifestement supérieure à CHF 10'000.-. Il s’ensuit la recevabilité de l’appel. 1.6. Vu les montants contestés en appel, comme la durée en l'état indéterminée des mesures prononcées, la valeur litigieuse pour un recours au Tribunal fédéral paraît supérieure à CHF 30'000.- (art. 51 al. 1 let. a et al. 4 LTF). 2. A.________ conteste le montant de la contribution d'entretien de CHF 620.- qu'il est astreint à verser par mois en faveur de chacun de ses enfants. Il reproche au premier juge l'imputation d'un revenu hypothétique net de CHF 4'300.- ainsi que le fait que le type d'activité professionnelle pouvant être exercée ne soit pas spécifiée. En effet, le premier juge renvoie à la décision du</w:t>
      </w:r>
    </w:p>
    <w:p>
      <w:r>
        <w:rPr>
          <w:b/>
        </w:rPr>
        <w:t>E. 17</w:t>
      </w:r>
    </w:p>
    <w:p>
      <w:r>
        <w:t>septembre 2018, qui indique une expérience professionnelle de l'appelant dans les domaines de la restauration, de la construction et de la santé. En outre, il se plaint de l'absence de délai octroyé en vue de la reprise d'une activité lucrative. Ensuite, il reproche au premier juge de ne pas avoir examiné la situation financière de B.________. Enfin, il se plaint du fait que les différents postes comptabilisés de l'entretien convenable de leurs enfants, fixé à CHF 1'456.10 pour C.________ et CHF 1'456.05 pour D.________, ne soient pas détaillés. 2.1.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w:t>
      </w:r>
    </w:p>
    <w:p>
      <w:r>
        <w:t>Tribunal cantonal TC Page 4 de 9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 2.2. En l'espèce, la décision querellée retient que la situation financière des parties s'est modifiée depuis la décision du 17 septembre 2018. A.________ est à l'aide sociale depuis le 1er juin 2019 et n'a plus droit aux indemnités de chômage qu'il percevait jusqu'alors. Le premier juge a pris note des certificats médicaux produits par A.________ attestant de son incapacité de travailler à 100% pour les mois de juillet à novembre 2019 (cf. pce 2 du bordereau produit le 11 novembre 2019). Quant à B.________, elle est également à l'aide sociale, n'ayant pas droit aux indemnités de l'assurance chômage. 2.3. S'agissant de A.________, le Président a retenu qu'il était sans revenus. Toutefois, il a maintenu l'imputation d'un revenu hypothétique net de CHF 4'300.- par mois dès le 1er août 2019, tel que fixé par la décision du 17 septembre 2018 compte tenu de son âge, de celui de ses enfants, de son bon état de santé et de son expérience professionnelle antérieure. Le premier juge a fixé ses charges à CHF 3'060.-. Il en résulte un solde disponible de CHF 1'240.-, à verser par moitié à chacun de ses enfants à titre de contribution d'entretien, soit CHF 620.- à chacun. 2.3.1.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La jurisprudence en matière d'entretien d'enfants mineurs, en particulier en présence de conditions financières modestes, pose des exigences particulièrement élevées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(cf. ATF 137 III 118 consid. 3.1 et 3.2).</w:t>
      </w:r>
    </w:p>
    <w:p>
      <w:r>
        <w:t>Tribunal cantonal TC Page 5 de 9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Il convient de préciser que la non-réalisation du revenu hypothétique par l'abandon ou la diminution d'une activité lucrative n'a pas d'incidence sur le montant des contributions d'entretien à verser. En effet, il appartient au parent débiteur de la contribution d'entretien de fournir l'effort raisonnablement exigible de sa part et de supporter les conséquences d'une diminution de revenu le cas échéant (ATF 143 III 233 consid. 3.3). 2.3.2. 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Les enfants ont le droit de recevoir une éducation et de bénéficier d'un niveau de vie qui corresponde à la situation des parents (ATF 120 II 285 consid. 3a/cc). Figurent dans les éléments de l’entretien convenable de l’enfant les coûts directs et les coûts indirects.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(ATF 134 III 577 consid. 4). L'art. 285 al. 2 CC prévoit que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377 consid. 7.1.2.2). La contribution de prise en charge doit cependant couvrir uniquement les coûts indirects induits par la prise en charge et il ne s’agit pas de rémunérer le parent qui s’occupe de l’enfant (ATF 144 précité). Or, il résulte de la jurisprudence relative au taux d'activité raisonnablement exigible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w:t>
      </w:r>
    </w:p>
    <w:p>
      <w:r>
        <w:t>Tribunal cantonal TC Page 6 de 9 déficit, il doit examiner si celui-ci existe malgré l'exercice d'une activité lucrative à un taux proche de celui qui est en principe exigible, vu l'âge de l'enfant cadet. Dans l'affirmative, l'entier du déficit correspond à la contribution de prise en charge.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Il s'agit toutefois là de règles générales, auxquelles le juge peut déroger en fonction des circonstances concrètes (ATF 144 III 481 consid. 4.7.7). Ainsi, il convient d'examiner quelle part du déficit subi par le parent gardien est liée à la prise en charge des enfants et doit, par conséquent, être intégrée au coût de ceux-ci par le biais de la contribution de prise en charge. 2.3.3. En l'espèce, A.________ n'est jamais parvenu à réaliser le revenu hypothétique de CHF 4'300.- fixé par la décision du 17 septembre 2018. Il explique que, bien qu'il ait exercé des activités lucratives dans les domaines de la restauration, de la construction et de la santé, il ne dispose pas de formation dans ces domaines et que cela fait près de trois ans qu'il n'exerce aucune activité lucrative, étant arrivé en fin de droit au chômage en juin 2019. Il n'a pas retrouvé d'activité, malgré ses démarches auprès d'anciens collègues. Lors de l'audience du 12 novembre 2019, A.________ a affirmé ne plus être atteint dans sa santé, nonobstant la production d'un certificat médical mentionnant une incapacité de travail à 100% encore pour le mois de novembre 2019, et a expliqué être prêt à retravailler sans délai si un emploi lui était proposé. Dès lors, c'est à juste titre que le premier juge a considéré comme raisonnablement exigible que A.________ exerce une activité lucrative. S'agissant de la période d'incapacité de travail de A.________, celui-ci a produit des certificats médicaux attestant de son incapacité de travailler à 100% de juillet 2019 à novembre 2019. Durant cette période, A.________ n'avait pas la possibilité effective d'exercer une activité lucrative et ainsi de réaliser un revenu. Dans la mesure où il ne prend de conclusions qu'à partir du mois d'août 2019, il se justifie, dans l'intérêt des enfants des parties, de ne supprimer la contribution d'entretien qu'à partir de ce mois. En outre, compte tenu de la durée pendant laquelle il n'a pas exercé d'activité lucrative, il convient de lui impartir un délai dès la fin de son incapacité pour retrouver un emploi. Partant, aucune pension ne sera due par A.________ d'août 2019 à mars 2020 et un revenu hypothétique lui sera imputé dès le 1er avril 2020. S'agissant du montant du revenu hypothétique, il résulte du calculateur de salaires de l'Office fédéral de la statistique, disponible sur internet à l'adresse www.salarium.ch, qu'un homme titulaire d'un permis B âgé de 37 ans de la région lémanique, sans formation professionnelle complète, travaillant à plein temps sans fonction de cadre (branche économique "87 Hébergement médico- social et social", groupe de professions "53 Personnel soignant") peut compter sur un revenu mensuel brut moyen de CHF 4'688.-, soit 3'985.- net. Partant, il convient d'imputer à A.________ un revenu hypothétique net de CHF 3'985.-. 2.3.4. Au niveau des charges de A.________, la décision querellée (p. 10) retient un total de charges de CHF 3'060.-, dont CHF 1'200.- de minimum vital selon le droit des poursuites, CHF 1'410.- de loyer, CHF 200.- pour les frais d'assurance maladie ainsi que CHF 250.- de frais</w:t>
      </w:r>
    </w:p>
    <w:p>
      <w:r>
        <w:t>Tribunal cantonal TC Page 7 de 9 de transport. L'appelant ne critique pas cette somme en soi, mais l'absence de prise en compte d'un montant destiné à couvrir l'exercice de son droit de visite. Il conclut à ce que soient comptabilisés CHF 150.- par mois, augmentant ainsi ses charges à CHF 3'210.-. S'agissant des frais d'exercice du droit de visite, le Tribunal fédéral estime que la question de savoir si le juge de fond entend octroyer au titulaire d'un droit de visite un certain montant à ce titre dans le cadre d'un litige du droit de la famille portant sur la fixation des contributions d'entretien destinées aux enfants relève de son pouvoir d'appréciation (cf.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 en pratique, il s'élèvera à quelques dizaines de francs par mois et par enfant en cas de droit de visite usuel (un week-end sur deux et la moitié des vacances) et pourra être apprécié plus largement si les relations personnelles sont plus étendues (arrêt TC FR 101 2018 22, in RFJ 2018 392). Il en découle qu'ici, vu la présence de deux enfants, CHF 100.- paraissent justifiés, dans la mesure où cette somme est aussi destinée à couvrir les frais des trajets pour aller chercher et ramener les enfants, domiciliés à E.________, à quelque 20 kilomètres de F.________. Partant, le total des charges de A.________ est de CHF 3'160.- et son solde disponible s'élève à CHF 825.-. 2.4. La décision attaquée (p. 10) retient que la situation financière de B.________ est toujours déficitaire, se trouvant à l'aide sociale depuis le 1er novembre 2019. Le premier juge a considéré qu'au vu de l'âge des enfants et de leur besoin en placement en cas de travail de la mère, une prise en compte en détail de la situation financière de B.________ n'aurait aucun impact sur le montant des pensions à verser par A.________ en faveur de ses deux enfants, étant donné que ce dernier, en tant que débirentier, doit dans tous les cas être protégé dans son minimum vital. L'appelant critique ce raisonnement et fait valoir que B.________ est inscrite à l'ORP et qu'elle percevra prochainement des indemnités du chômage, ce qui contribuera à améliorer sa situation financière. Au vu de l'âge de l'enfant cadet des parties, il n'est actuellement pas raisonnablement exigible de B.________ qu'elle exerce une activité lucrative. Ainsi, l'intégralité de son déficit est considérée comme coût indirect de D.________. Par ailleurs, l'argument selon lequel la situation financière de B.________ connaîtra prochainement une amélioration en raison du versement des indemnités de chômages ne peut être suivi, puisque en sus du fait ces indemnités lui ont été refusées, ces prestations lui permettraient au mieux de couvrir ses propres charges. En cas d'évolution positive de sa situation financière, il appartiendra aux parties d'introduire une demande en modification des mesures protectrices de l'union conjugale. 2.5. L'appelant se plaint de ce que n'aient pas été détaillés les différents postes comptabilisés pour l'entretien convenable des enfants. En l'espèce, il ne résulte pas de la décision attaquée la méthode appliquée pour déterminer le montant de l'entretien convenable des enfants. Il ressort du jugement du 17 septembre 2018 (p. 4) que le coût d'entretien des enfants, augmenté du poste de subsistance du parent gardien, et réduit des allocations familiales, s'élève à CHF 2'912.15 au total (CHF 1'456.05 pour D.________ et CHF 1'456.10 pour C.________), sans détail.</w:t>
      </w:r>
    </w:p>
    <w:p>
      <w:r>
        <w:t>Tribunal cantonal TC Page 8 de 9 Il convient de déterminer le coût de l'entretien convenable des enfants selon la méthode du minimum vital élargi, cette méthode paraissant la plus adéquate au vu du niveau de vie des parties. Ainsi, il s'agit de retenir le montant de base LP augmenté de 20 %, auquel s'ajoute la part au logement ainsi que les frais d'assurance-maladie (en l'espèce 1/3 de la prime totale d'assurance-maladie subventionnée de B.________ de CHF 108.65), et d'en déduire les allocations familiales. Le coût de l'entretien convenable de C.________ est de CHF 354.- (CHF 480.- de montant de base [CHF 400.- + 20%] + CHF 138.- de part au logement effective + CHF 36.- de prime d'assurance-maladie subventionnée - CHF 300.- d'allocations]). Quant à celui de D.________, il se monte à CHF 354.-, auxquels vient s'ajouter le déficit non contesté de la mère de CHF 2'293.-, soit CHF 2'647.-. Dès le mois d’avril 2020, avec son disponible de CHF 825.-, A.________ est en mesure de verser une contribution d'entretien de CHF 360.- en faveur de C.________ et de CHF 460.- en faveur de D.________. Si l'entretien convenable de C.________ est ainsi assuré, il manque en revanche CHF 2'187.- pour assurer celui de D.________ (CHF 2'647.- d'entretien convenable - CHF 460.- de contribution d'entretien). Il s'ensuit l'admission partielle de l'appel, dans le sens évoqué. 3.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en ce qui concerne la contribution due par A.________ pour ses enfants. Il se justifie dès lors que, sous réserve de l'assistance judiciaire octroyée aux deux parties, chacune d'elles supporte ses propres dépens d'appel et la moitié des frais de justice dus à l'Etat, qui sont fixés à CHF 1'000.-. (dispositif en page suivante)</w:t>
      </w:r>
    </w:p>
    <w:p>
      <w:r>
        <w:t>Tribunal cantonal TC Page 9 de 9 la Cour arrête : I. L'appel est partiellement admis. Partant, le chiffre 5 du dispositif de la décision prononcée le 17 septembre 2018 par le Président du Tribunal civil de l'arrondissement de la Glâne est réformé, pour prendre la teneur suivante : 5. Aucune pension n'est due du 1er août 2019 au 31 mars 2020. Dès le 1er avril 2020, A.________ contribuera à l'entretien de ses enfants par le versement d'une pension mensuelle de CHF 360.- pour C.________ et de CHF 460.- pour D.________, allocations familiales en sus. Dites pensions sont payables d'avance, le premier de chaque mois, dès le 1er avril 2020, en mains de B.________ et porteront intérêts à 5% l'an dès chaque échéance. Elles seront indexées le 1er janvier de chaque année sur la base de l'indice de novembre de l'année précédente, l'indice de base étant celui de l'entrée en force du jugement. D’août 2019 à mars 2020, il manque un montant de CHF 2'647.- à charge de A.________ pour assurer l'entretien convenable de D.________ et un montant de CHF 354.- pour assurer celui de C.________. Dès le mois d’avril 2020, il manque un montant de CHF 2'187.- à charge de A.________ pour assurer l'entretien convenable de D.________. L'entretien convenable de C.________ est assuré. II. Sous réserve de l'assistance judiciaire qui leur a été octroyée,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mars 2020/dma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