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200 vom 27. August 2019</w:t>
      </w:r>
    </w:p>
    <w:p>
      <w:r>
        <w:t>FR Kantonsgericht, 2019-08-27, FR</w:t>
      </w:r>
    </w:p>
    <w:p>
      <w:r>
        <w:rPr>
          <w:b/>
        </w:rPr>
        <w:t xml:space="preserve">Quelle: </w:t>
      </w:r>
      <w:r>
        <w:t>https://mcp.opencaselaw.ch/entscheid/fr_gerichte_101_2019_200</w:t>
      </w:r>
    </w:p>
    <w:p>
      <w:r>
        <w:t>FR: FR_GERICHTE 101 2019 200 du 27 août 2019</w:t>
      </w:r>
    </w:p>
    <w:p>
      <w:r>
        <w:t>IT: FR_GERICHTE 101 2019 200 del 27 agosto 2019</w:t>
      </w:r>
    </w:p>
    <w:p>
      <w:pPr>
        <w:pStyle w:val="Heading2"/>
      </w:pPr>
      <w:r>
        <w:t>Regeste</w:t>
      </w:r>
    </w:p>
    <w:p>
      <w:r>
        <w:t>Arrêt de la Ie Cour d'appel civil du Tribunal cantonal | Eheschutzmassnahmen</w:t>
      </w:r>
    </w:p>
    <w:p>
      <w:pPr>
        <w:pStyle w:val="Heading2"/>
      </w:pPr>
      <w:r>
        <w:t>Erwägungen</w:t>
      </w:r>
    </w:p>
    <w:p>
      <w:r>
        <w:rPr>
          <w:b/>
        </w:rPr>
        <w:t>E. 1.1.1</w:t>
      </w:r>
    </w:p>
    <w:p>
      <w:r>
        <w:t>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rPr>
          <w:b/>
        </w:rPr>
        <w:t>E. 1.1.2</w:t>
      </w:r>
    </w:p>
    <w:p>
      <w:r>
        <w:t>Selon la jurisprudence, lorsqu'une convention complète réglant la séparation des époux est remise en cause pour la première fois dans un pourvoi, ce sont les conclusions prises en deuxième instance qui déterminent la valeur litigieuse (arrêt TC FR 101 2017 381 du 26 mars 2018), plus précisément la différence entre le montant de ces conclusions et celui convenu jusqu'alors et désormais contesté (BASTONS BULLETTI, CPC online, newsletter du 31 janvier 2019; cf. ég. arrêt TC FR 101 2019 53 du 31 juillet 2019 consid. 1.1.2). En l'espèce, vu la contestation, en appel, des modalités d'exercice du droit de visite, de même que des contributions dues, la valeur litigieuse est manifestement supérieure à CHF 30'000.-, ce qui ouvre tant la voie de l'appel au niveau cantonal que par la suite celle du recours en matière civile au Tribunal fédéral (cf. art. 51 al. 1 let. a et al. 4 LTF).</w:t>
      </w:r>
    </w:p>
    <w:p>
      <w:r>
        <w:rPr>
          <w:b/>
        </w:rPr>
        <w:t>E. 1.1.3</w:t>
      </w:r>
    </w:p>
    <w:p>
      <w:r>
        <w:t>La décision attaquée a été notifiée à l'appelante le 5 juillet 2019. Déposé le 15 juillet 2019, l'appel a dès lors été interjeté en temps utile. Le mémoire est, de plus, dûment motivé et doté de conclusions.</w:t>
      </w:r>
    </w:p>
    <w:p>
      <w:r>
        <w:rPr>
          <w:b/>
        </w:rPr>
        <w:t>E. 1.1.4</w:t>
      </w:r>
    </w:p>
    <w:p>
      <w:r>
        <w:t>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Par ailleurs le principe de disposition s'applique à la contribution d'entretien du conjoint (art. 58 al. 1 CPC).</w:t>
      </w:r>
    </w:p>
    <w:p>
      <w:r>
        <w:rPr>
          <w:b/>
        </w:rPr>
        <w:t>E. 1.3</w:t>
      </w:r>
    </w:p>
    <w:p>
      <w:r>
        <w:t>La cognition de la Cour d'appel (ci-après: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4 de 9</w:t>
      </w:r>
    </w:p>
    <w:p>
      <w:r>
        <w:rPr>
          <w:b/>
        </w:rPr>
        <w:t>E. 1.4</w:t>
      </w:r>
    </w:p>
    <w:p>
      <w:r>
        <w:t>Des débats ne sont pas nécessaires; il sera statué sur pièces, conformément à la possibilité prévue par l'art. 316 al. 1 CPC. En outre, l'appel étant manifestement mal fondé (art. 312 al. 1 in fine CPC), aucune réponse n'a été demandée à l'intimé.</w:t>
      </w:r>
    </w:p>
    <w:p>
      <w:r>
        <w:rPr>
          <w:b/>
        </w:rPr>
        <w:t>E. 2</w:t>
      </w:r>
    </w:p>
    <w:p>
      <w:r>
        <w:t>A.________ remet en cause la validité de la convention signée par les parties, sa ratification par la première juge et, par là-même, les chiffres I.5, I.6 et I.7 du dispositif de la décision du 26 juin 2019.</w:t>
      </w:r>
    </w:p>
    <w:p>
      <w:r>
        <w:rPr>
          <w:b/>
        </w:rPr>
        <w:t>E. 2.1</w:t>
      </w:r>
    </w:p>
    <w:p>
      <w:r>
        <w:t>En substance, l'appelante fait valoir un vice du consentement, pensant avoir été conseillée et accompagnée par une juriste et médiatrice ayant de solides compétences en droit matrimonial, laquelle n'aurait pas informé les époux de leurs droits, en particulier quant au calcul du coût d'entretien des enfants et à la répartition du bonus telle que convenue. Elle invoque plusieurs erreurs dans le contenu de la convention.</w:t>
      </w:r>
    </w:p>
    <w:p>
      <w:r>
        <w:rPr>
          <w:b/>
        </w:rPr>
        <w:t>E. 2.2</w:t>
      </w:r>
    </w:p>
    <w:p>
      <w:r>
        <w:t>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cf. ég. CPra Matrimonial-BOHNET, 2016, art. 273 CPC n. 34, 279 CPC n. 8 et les références citées). Le Tribunal fédéral relève que les conventions conclues à titre de mesures provisionnelles et de mesures protectrices déploient leurs effets avant une éventuelle ratification (elles valent titre de mainlevée provisoire pour les contributions d'entretien: arrêt TF 5A_372/2014 du 23 octobre 2014 consid. 2.5, cité in CPra Matrimonial-BOHNET, art. 279 CC n. 8). Pour sa part, le juge ratifie la convention après s'être assuré que les époux l'ont conclue après mûre réflexion et de leur plein gré, qu'elle est claire et complète et qu'elle n'est pas manifestement inéquitable, l'art. 279 al. 1 CPC s'appliquant également à la convention de mesures protectrices de l'union conjugale (arrêt TC FR 101 2018 317 du 1er juillet 2019 consid. 2 destiné à publication; cf. ég. RFJ 2005 p. 1). Il doit vérifier qu'ils n'ont conclu leur convention ni sous l'empire d'une erreur (art. 23 ss CO), ni sous l'emprise du dol (art. 28 CO) ou de la menace (art. 29 s. CO). L'erreur qui constitue un obstacle à la ratification est l'erreur essentielle au sens de l'art. 23 CO. Est dans l'erreur celui qui a une fausse représentation d'un fait. L'absence de représentation d'un fait, à savoir l'ignorance de celui-ci, y est assimilée.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(arrêt TF 5A_772/2014 du 17 mars 2015 consid. 5.1). L'erreur doit ainsi toujours concerner un fait que les parties considéraient comme donné. En revanche, l'erreur portant sur un point qui a précisément fait l'objet de la transaction, c'est-à-dire l'erreur sur l'objet même de la transaction (caput controversum),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(arrêt TF 5A_187/2013 du 4 octobre 2013 consid. 7.1). La partie victime d'un vice du consentement supporte le fardeau de l'allégation et celui de la preuve de ce vice (art. 8 CC).</w:t>
      </w:r>
    </w:p>
    <w:p>
      <w:r>
        <w:t>Tribunal cantonal TC Page 5 de 9</w:t>
      </w:r>
    </w:p>
    <w:p>
      <w:r>
        <w:rPr>
          <w:b/>
        </w:rPr>
        <w:t>E. 2.3.1</w:t>
      </w:r>
    </w:p>
    <w:p>
      <w:r>
        <w:t>En l'espèce, la convention a été envoyée au juge pour ratification après que les époux l'ont dûment signée, le 20 mars 2019. A diverses reprises, les parties ont été interrogées sur leur accord quant au contenu de la convention, qu'elles ont confirmée, l'épouse ayant en outre été expressément rendue attentive par la Présidente du Tribunal au fait qu'il serait plus adéquat de prévoir un montant mensuel fixe pour la contribution d'entretien (cf. DO/8). Elle est dès lors malvenue de faire valoir à présent un vice du consentement, alors qu'elle a eu précédemment l'occasion de revenir sur sa décision. Le fait que la Présidente du Tribunal, selon elle, l'a avisée, au cours de l'audience du 24 avril 2019, qu'elle était libre de consulter un avocat (appel, p. 8) n'y change rien, dès lors que l'appelante, à plusieurs reprises, a maintenu son accord avec la convention. Lors de l'audience, elle a précisément déclaré ce qui suit (procès-verbal p. 4 [DO/17]): "Je confirme mon accord avec la convention signée le 20 mars 2019, telle que modifiée en séance de ce jour. Je confirme ma situation financière telle qu'elle ressort du tableau que j'ai signé." De plus, ayant remarqué une erreur dans la convention figurant au procès-verbal quant au montant de la contribution due à E.________, erreur qu'elle a signalée (DO/19), l'appelante, par courrier du 30 avril 2019, a confirmé son accord quant à la rectification de cette contribution (DO/21). Entre l'audience du 24 avril 2019 et la décision du 26 juin 2019, deux mois se sont écoulés durant lesquels A.________ pouvait remettre en question le contenu de la convention, ce qu'elle n'a pas fait. Pour ce qui concerne en particulier le montant de ses revenus, qu'elle allègue ascender à CHF 1'147.- (cf. bordereau de l'appel, pièce no 7), et non CHF 1'500.-, l'on relèvera que l'appelante a signé la convention qui fait état d'un revenu mensuel variable net de CHF 1'500.- (CHF 1'000.- + CHF 500.-), selon les indications qu'elle-même a fournies. Lors de l'audience, A.________ a affirmé que ses activités de massothérapeute indépendante et de secrétaire-comptable indépendante lui rapportaient environ CHF 1'500.- nets par mois (procès-verbal p. 5 [DO/17]) et a confirmé sa situation financière telle qu'elle ressortait du tableau établi par la première juge (DO/17 s.). Quant aux revenus de l'époux, quand bien même le montant de CHF 1'964.90 ajouté à ceux-ci correspond à la gratification annuelle (pièce no 3 produite en première instance) et non au bonus, il n'en demeure pas moins que ce montant est perçu et doit être ajouté au salaire, ce que l'appelante ne conteste d'ailleurs pas. S'agissant des frais fixes par CHF 700.- dont l'épouse fait valoir qu'ils doivent être ajoutés au salaire de son mari, elle pouvait en faire part en première instance et n'établit nullement pourquoi elle n'aurait pas eu alors déjà connaissance de cet état de fait, ce qui scelle le sort de son grief sur ce point. Pour ce qui a trait encore au logement de l'intimé, outre le fait que le montant de CHF 2'000.- alors articulé était déjà incertain au moment de la conclusion de la convention, l'appelante se borne à affirmer que son époux souhaite se rapprocher du domicile de son amie, et non prendre un logement plus spacieux, doutant ainsi du montant de son loyer, sans étayer davantage ses allégations. Peu importe enfin que la responsable du cabinet de conseils consultée par les époux ait ou non une formation juridique, respectivement de médiatrice. A plusieurs reprises, les époux ont été interpellés et ont confirmé leur accord relatif à la convention, laquelle a au demeurant été dûment adaptée par la première juge, qui a soigneusement examiné l'équité de son contenu (cf. infra consid. 3).</w:t>
      </w:r>
    </w:p>
    <w:p>
      <w:r>
        <w:rPr>
          <w:b/>
        </w:rPr>
        <w:t>E. 2.3.2</w:t>
      </w:r>
    </w:p>
    <w:p>
      <w:r>
        <w:t>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 in arrêt TF 5A_855/2017 du 11 avril 2018 consid. 4.3.2). Or, au vu du dossier, l'on ne discerne pas, sous l'angle de la</w:t>
      </w:r>
    </w:p>
    <w:p>
      <w:r>
        <w:t>Tribunal cantonal TC Page 6 de 9 vraisemblance, un quelconque vice du consentement de l'appelante. Sa critique tombe à faux, ce qui scelle également le sort de ses réquisitions de preuve.</w:t>
      </w:r>
    </w:p>
    <w:p>
      <w:r>
        <w:rPr>
          <w:b/>
        </w:rPr>
        <w:t>E. 3.1</w:t>
      </w:r>
    </w:p>
    <w:p>
      <w:r>
        <w:t>Dans un second moyen, A.________ soulève l'inéquité de la convention signée.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(arrêts TF 5C.163/2006 du 3 novembre 2006 consid. 4.1 et 5A_74/2014 du 5 août 2014 consid. 3.1 et les références citées).</w:t>
      </w:r>
    </w:p>
    <w:p>
      <w:r>
        <w:rPr>
          <w:b/>
        </w:rPr>
        <w:t>E. 3.2.1</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not. arrêt TC FR 101 2016 317 du 27 mars 2017 consid. 3a in RFJ 2017 41).</w:t>
      </w:r>
    </w:p>
    <w:p>
      <w:r>
        <w:rPr>
          <w:b/>
        </w:rPr>
        <w:t>E. 3.2.2</w:t>
      </w:r>
    </w:p>
    <w:p>
      <w:r>
        <w:t>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aCC,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Si l'adaptation des Tabelles zurichoises à chaque cas d'espèce n'implique pas, sans autres considérations, une réduction systématique forfaitaire de 25% du coût d'entretien, pour un enfant vivant dans une famille au revenu moyen, dans le canton de Fribourg (dans ce sens: arrêt TF 5A_690/2010 du 21 avril 2011 consid. 2.3), à l'inverse, des revenus cumulés dépassant CHF 7'000.- à CHF 7'500.- n'impliquent pas la prise en compte systématique des tabelles non réduites, encore moins une augmentation de celles-ci. Le coût d'entretien</w:t>
      </w:r>
    </w:p>
    <w:p>
      <w:r>
        <w:t>Tribunal cantonal TC Page 7 de 9 déterminé par les tabelles,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Il appartient au débirentier d'alléguer que les frais de logement ou autres postes de l'entretien des enfants (nourriture et habillement notamment) seraient effectivement inférieurs dans le cas d'espèce par rapport à ceux retenus comme moyenne nationale pour établir les tabelles zurichoises (arrêt TF 5A_100/2012 du 30 août 2012 consid. 6.2), respectivement au crédirentier d'alléguer qu'ils seraient supérieurs, ce que l'appelante n'a pas fait.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Enfin, l'on soulignera qu'il est de la responsabilité première des parents de s'entendre et de fixer des contributions raisonnables en faveur de leurs enfants.</w:t>
      </w:r>
    </w:p>
    <w:p>
      <w:r>
        <w:rPr>
          <w:b/>
        </w:rPr>
        <w:t>E. 3.2.3</w:t>
      </w:r>
    </w:p>
    <w:p>
      <w:r>
        <w:t>En l'espèce, les montants convenus entre les parents, adaptés par la première juge (CHF 970.- pour C.________, CHF 970.- pour D.________ et CHF 2'810.- pour E.________), couvrent l'entretien convenable des enfants, contribution de prise en charge incluse, et correspondent à ceux qui auraient été fixés tant selon la méthode des Tabelles zurichoises (cf. tableau signé des parties [DO/18]) que selon celle du minimum vital élargi, à savoir: - pour E.________: CHF 891.15 (CHF 483.75 [montant de base] + CHF 334.50 [part au logement] + CHF 72.90 [prime d'assurance-maladie]) selon les tabelles zurichoises, respectivement CHF 887.40 (CHF 480.- [montant de base] + CHF 334.50 + CHF 72.90) selon la méthode du minimum vital élargi, montant auquel s'ajoute les coûts de subsistance par CHF 2'301.05, dont à déduire les allocations familiales par CHF 380.-, soit CHF 2'812.20, respectivement CHF 2'808.45; - pour C.________ et D.________: CHF 1'266.10 (CHF 780.- + CHF 334.50 + CHF 151.60) selon les tabelles zurichoises, respectivement CHF 1'206.10 selon la méthode du minimum vital élargi (CHF 720.- + CHF 334.50 + CHF 151.60) dont à déduire les allocations familiales par CHF 300.-, soit CHF 966.10 chacune, respectivement CHF 906.10. Partant, l'inéquité de la convention n'étant pas avérée, la Cour n'interviendra pas.</w:t>
      </w:r>
    </w:p>
    <w:p>
      <w:r>
        <w:rPr>
          <w:b/>
        </w:rPr>
        <w:t>E. 3.3.1</w:t>
      </w:r>
    </w:p>
    <w:p>
      <w:r>
        <w:t>Quant à la pension à laquelle A.________ elle-même a renoncé, préférant une participation au bonus de son époux à concurrence du tiers de celui-ci – sous déduction de CHF 27'000.- utilisés pour le rachat de la société F.________ SA –, là encore, la convention n'est pas léonine ou spoliatrice au point que l'on doive admettre une disproportion évidente entre les parts attribuées à chacun des époux (arrêt TF 5A_74/2014 du 5 août 2014 consid. 3.1). Indépendamment des griefs que fait valoir l'appelante, il convient de constater ce qui suit: le principe et le montant de la contribution d'entretien due entre conjoints selon l'art. 176 al. 1 ch. 1 CC se déterminent non seulement en fonction des facultés économiques, mais également des besoins respectifs des époux. Le législateur n'a pas arrêté de mode de calcul à cette fin. Quelle que soit la méthode appliquée, le train de vie mené jusqu'à la cessation de la vie commune constitue la limite supérieure du droit à l'entretien. La méthode dite du minimum vital avec répartition de l'excédent</w:t>
      </w:r>
    </w:p>
    <w:p>
      <w:r>
        <w:t>Tribunal cantonal TC Page 8 de 9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TF 5A_587/2018 du 23 octobre 2018 consid. 3.1 et les références citées).</w:t>
      </w:r>
    </w:p>
    <w:p>
      <w:r>
        <w:rPr>
          <w:b/>
        </w:rPr>
        <w:t>E. 3.3.2</w:t>
      </w:r>
    </w:p>
    <w:p>
      <w:r>
        <w:t>En l'occurrence, l'appelante n'allègue ni ne démontre que le train de vie mené durant le mariage était supérieur à son minimum vital qui est assuré par la contribution de prise en charge des enfants, de sorte qu'un droit à la participation par moitié à un éventuel excédent de l'intimé n'est pas d'emblée acquis. Au demeurant, les parties n'ont pas tenu compte, dans les charges de l'époux, des frais d'exercice du droit de visite, charge indispensable et incompressible du parent visiteur (RFJ 2018 p. 392). Dans ces conditions, il n'y a pas matière à répartir différemment le bonus de l'époux, lequel se monte, selon le chiffre articulé par l'appelante elle-même, à CHF 59'700.- par an (appel, p. 23).</w:t>
      </w:r>
    </w:p>
    <w:p>
      <w:r>
        <w:rPr>
          <w:b/>
        </w:rPr>
        <w:t>E. 4</w:t>
      </w:r>
    </w:p>
    <w:p>
      <w:r>
        <w:t>S'agissant enfin de l'exercice du droit de visite, l'appelante ne remet pas en question son étendue, mais uniquement sa mise en œuvre. Or, il appartient aux parents de s'entendre sur les modalités de celle-ci ou, si un réel soutien est nécessaire, d'envisager l'instauration d'une curatelle de surveillance des relations personnelles. Rien ne justifie dès lors de préciser la convention sur ce point.</w:t>
      </w:r>
    </w:p>
    <w:p>
      <w:r>
        <w:rPr>
          <w:b/>
        </w:rPr>
        <w:t>E. 5</w:t>
      </w:r>
    </w:p>
    <w:p>
      <w:r>
        <w:t>L'appel, manifestement mal fondé, est ainsi rejeté sans échange d'écritures (art. 312 al. 1 CPC).</w:t>
      </w:r>
    </w:p>
    <w:p>
      <w:r>
        <w:rPr>
          <w:b/>
        </w:rPr>
        <w:t>E. 6</w:t>
      </w:r>
    </w:p>
    <w:p>
      <w:r>
        <w:t>Le versement d'une provisio ad litem par le conjoint suppose en principe – comme l'assistance judiciaire subsidiaire – que la partie requérante ne dispose pas de ressources suffisantes et que sa cause ne paraisse pas dépourvue de toute chance de succès (arrêt TF 5D_135/2010 du 9 février 2011 consid. 3.1; cf. ég. arrêt TC FR 101 2018 44 du 29 mars 2018 consid. 3). En l'occurrence, le sort donné à l'appel conduit au rejet tant de la demande tendant au versement d'une provisio ad litem de CHF 4'000.- que de la requête d'assistance judiciaire (art. 117 let. b CPC).</w:t>
      </w:r>
    </w:p>
    <w:p>
      <w:r>
        <w:rPr>
          <w:b/>
        </w:rPr>
        <w:t>E. 7.1</w:t>
      </w:r>
    </w:p>
    <w:p>
      <w:r>
        <w:t>Les frais judiciaires de la procédure d'appel, fixés forfaitairement (art. 95 al. 2 let. b CPC) à CHF 800.-, sont mis à la charge de A.________, qui succombe (art. 106 al. 1 CPC).</w:t>
      </w:r>
    </w:p>
    <w:p>
      <w:r>
        <w:rPr>
          <w:b/>
        </w:rPr>
        <w:t>E. 7.2</w:t>
      </w:r>
    </w:p>
    <w:p>
      <w:r>
        <w:t>L'intimé n'ayant pas été invité à se déterminer, il ne sera pas alloué de dépens.</w:t>
      </w:r>
    </w:p>
    <w:p>
      <w:r>
        <w:t>Tribunal cantonal TC Page 9 de 9 la Cour arrête : I. L'appel est rejeté. Partant, la décision rendue le 26 juin 2019 par la Présidente du Tribunal civil de la Broye est intégralement confirmée. II. La demande tendant au versement d'une provisio ad litem de CHF 4'000.- est rejetée. III. La requête d'assistance judiciaire formulée pour l'appel est rejetée. IV. Les frais judiciaires dus à l'Etat pour la procédure d'appel, fixés forfaitairement à CHF 800.-, sont mis à la charge de A.________.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