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138 vom 2. September 2019</w:t>
      </w:r>
    </w:p>
    <w:p>
      <w:r>
        <w:t>FR Kantonsgericht, 2019-09-02, FR</w:t>
      </w:r>
    </w:p>
    <w:p>
      <w:r>
        <w:rPr>
          <w:b/>
        </w:rPr>
        <w:t xml:space="preserve">Quelle: </w:t>
      </w:r>
      <w:r>
        <w:t>https://mcp.opencaselaw.ch/entscheid/fr_gerichte_101_2019_138</w:t>
      </w:r>
    </w:p>
    <w:p>
      <w:r>
        <w:t>FR: FR_GERICHTE 101 2019 138 du 2 septembre 2019</w:t>
      </w:r>
    </w:p>
    <w:p>
      <w:r>
        <w:t>IT: FR_GERICHTE 101 2019 138 del 2 settembre 2019</w:t>
      </w:r>
    </w:p>
    <w:p>
      <w:pPr>
        <w:pStyle w:val="Heading2"/>
      </w:pPr>
      <w:r>
        <w:t>Regeste</w:t>
      </w:r>
    </w:p>
    <w:p>
      <w:r>
        <w:t>Arrêt de la Ie Cour d'appel civil du Tribunal cantonal | Eheschutzmassnahmen</w:t>
      </w:r>
    </w:p>
    <w:p>
      <w:pPr>
        <w:pStyle w:val="Heading2"/>
      </w:pPr>
      <w:r>
        <w:t>Erwägungen</w:t>
      </w:r>
    </w:p>
    <w:p>
      <w:r>
        <w:rPr>
          <w:b/>
        </w:rPr>
        <w:t>E. 30</w:t>
      </w:r>
    </w:p>
    <w:p>
      <w:r>
        <w:t>août 2012 consid. 3.1 et 6.2 et 5C.171/2003 du 11 novembre 2003 consid. 3.2), mais en remplaçant la part au logement et la prime d'assurance-maladie par les montants effectivement acquittés à ces titres. Selon les tabelles, le coût d'un enfant âgé de 12 à 18 ans dans une fratrie de trois s'élève, sans les deux postes susmentionnés, à CHF 1'005.- par mois. Il faut y ajouter la part au logement, par CHF 260.-, et l'assurance-maladie, par CHF 170.- environ (DO/36 s.). Après déduction des allocations familiales, on aboutit ainsi à un entretien convenable, s'agissant de C.________ et D.________, de l'ordre de CHF 1'200.- par mois. Contrairement à ce que soutient l'appelante, ce coût déjà évalué largement ne saurait encore être élargi à d'autres frais, tels que l'abonnement de bus – inclus dans le poste "Freizeit, Förderung und ÖV" –, l'écolage et le matériel, les devoirs surveillés – qui devraient bientôt ne plus être nécessaires – ou les repas à la cantine. Au demeurant, si les enfants mangent à la cantine, cela réduit d'autant les frais de nourriture à la charge de la mère, tout comme le fait qu'ils soient chez leur père un soir chaque semaine en sus d'un week-end sur deux. Partant, c'est un montant mensuel de CHF 1'200.- qui sera retenu pour chaque enfant dès ses 12 ans, tandis que le coût de E.________ sera confirmé à hauteur de CHF 900.- jusqu'à son entrée à l'école secondaire, ce qui n'est pas critiqué. 2.4.2. Jusqu'à l'entrée de la cadette à l'école secondaire, seul l'intimé a un disponible. Il lui appartient dès lors de verser pour chacun de ses aînés une pension mensuelle de CHF 1'200.-, et pour E.________ les contributions de CHF 2'325.-, puis CHF 1'570.- dès le 1er octobre 2019, décidées en première instance, coûts indirects inclus. Après paiement de ces montants et de la pension en faveur de l'épouse, non contestée, soit CHF 1'105.- par mois en 2018 et CHF 2'290.- dès janvier 2019, le mari aura un solde de CHF 1'270.- pour les mois d'août à décembre 2018, de CHF 2'559.35 de janvier à septembre 2019 puis de CHF 3'314.35, différence d'impôts prise en compte. Son minimum vital est ainsi largement respecté. Depuis l'entrée à l'école secondaire de la fille cadette, la mère pourra, avec son disponible évalué à CHF 934.45 (environ 9 % du disponible global du couple ; décision attaquée, p. 16), contribuer dans une faible mesure à l'entretien de ses enfants. Vu le coût de chaque enfant qui devra alors être arrêté à CHF 1'200.-, cette contribution peut être fixée à CHF 100.- environ (9 % de CHF 1'200.- = CHF 108.-). Partant, les pensions dues par le père pour chacun de ses enfants seront fixées dès ce moment à CHF 1'100.- par mois. Après paiement de ces montants et de la pension pour l'épouse à hauteur de CHF 2'290.-, l'intimé aura encore un solde de CHF 3'984.35. Enfin, depuis les 16 ans de E.________, l'appelante devrait avoir un solde mensuel de CHF 2'014.45 (décision attaquée, p. 16). Le disponible du père représentant alors le 82.6 % de celui du couple, les pensions pour chacun de ses enfants doivent être arrêtées à CHF 991.20, montant arrondi à CHF 1'000.-. Après paiement de ces montants et de la pension en faveur de l'épouse à hauteur de CHF 2'000.-, l'intimé aura encore un disponible de CHF 4'574.35. 2.5. Il s'ensuit l'admission partielle de l'appel en ce qui concerne les pensions pour les enfants, dans le sens évoqué. 3. L'appelante reproche encore à la Présidente une violation de l'art. 176 CC en relation avec le partage du bonus. Elle fait valoir que, dans la mesure où les soldes doivent en principe être répartis par la moitié, il ne se justifie pas de lui allouer seulement le ¼ du bonus perçu par l'intimé,</w:t>
      </w:r>
    </w:p>
    <w:p>
      <w:r>
        <w:t>Tribunal cantonal TC Page 8 de 10 ce d'autant que celui-ci avait dans un premier temps admis une répartition par la moitié, avant de se raviser (appel, p. 21). En l'espèce, le raisonnement de la première juge consiste en ce que, dans la mesure où le mari vient de changer de travail et où son contrat prévoit qu'il pourra bénéficier, en fonction des résultats annuels de la société et de l'atteinte de ses objectifs, d'un bonus allant de 0 à 25 % de son revenu annuel, le versement régulier de cette gratification n'est pas garanti, ce qui s'opposerait à tout partage. Cependant, B.________ ayant consenti au versement du ¼ de son bonus net, elle a fait droit à ce chef de conclusions (décision attaquée, p. 21). Dans son appel, l'épouse ne s'en prend pas du tout à ce raisonnement, se bornant à soutenir qu'il convient de partager le bonus par la moitié. On peut dès lors s'interroger sur la recevabilité de cette partie de son pourvoi. La question peut cependant demeurer ouverte, pour les motifs qui suivent. En mesures protectrices de l'union conjugale, le calcul de la contribution d'entretien entre époux se fait selon le standard de vie connu en dernier lieu du temps du ménage commun, standard au maintien duquel chaque partie a droit si les moyens de la famille sont suffisants pour couvrir les charges liées à l'existence de deux ménages. Il s'agit de la limite supérieure du droit à l'entretien (ATF 140 III 337 consid. 4.2.1). La loi n'impose pas au juge de méthode de calcul particulière pour fixer la quotité de la contribution d'entretien en faveur de conjoint : la détermination de celle-ci relève du pouvoir d'appréciation du juge du fait, qui applique les règles du droit et de l'équité (arrêt TF 5A_817/2016 du 1er mai 2017 consid. 3.2.2). Lorsque la situation financière est favorable mais qu'il n'est pas établi que les époux auraient constitué des économies, la méthode de calcul en deux temps est adéquate ; dans celle-ci, le juge compare d'abord les besoins concrets de toutes les personnes avec les revenus globaux, puis répartit dans un deuxième temps l'excédent entre les époux (ATF 140 III 337 consid. 4.2.2). Celui-ci est, en règle générale, partagé par moitié entre eux, à moins que l'un des époux ne doive subvenir aux besoins d'enfants mineurs communs ou que des circonstances importantes ne justifient de s'écarter de cette clé de répartition ; de telles circonstances sont données, par exemple, lorsque les revenus d'un époux augmentent sensiblement peu après la séparation, de sorte que la prise en compte de l'entier de ce nouveau revenu dans le cadre du calcul du disponible à répartir permettrait à l'autre conjoint d'augmenter son niveau de vie (arrêt TF 5A_861/2014 du 21 avril 2015 consid. 5 et 6). Dans le cas particulier, l'intimé a précisément changé d'emploi et augmenté ses revenus suite à la séparation, passant d'un revenu net de CHF 12'355.80 à un salaire de CHF 14'389.50 (supra, consid. 2.3). Les contributions d'entretien ayant été fixées en partageant par la moitié les soldes disponibles, l'épouse bénéficie dès lors déjà de cette amélioration sensible de la situation de son conjoint et il se justifie, comme l'a décidé la Présidente, de n'allouer qu'une quote-part de ¼ du bonus à l'appelante. Certes, en audience du 8 octobre 2018, le mari avait proposé de verser la moitié du bonus net, ce que son épouse avait accepté (DO/50). Cependant, cette dernière a ultérieurement augmenté ses conclusions en lien avec la pension requise pour elle-même (DO/88) et, sur la base de ce fait nouveau, le mari a lui aussi modifié ses conclusions pour ne proposer désormais plus que ¼ de la gratification (DO/92), ce qui ne paraît pas inadmissible au regard de l'art. 227 CPC, le contraire n'étant pas soutenu par l'appelante. Dans ces conditions, l'appel doit être rejeté en tant qu'il porte sur la clé de répartition du bonus de l'intimé.</w:t>
      </w:r>
    </w:p>
    <w:p>
      <w:r>
        <w:t>Tribunal cantonal TC Page 9 de 10 4. Aux termes de l'art. 106 al. 1 et 2 CPC, les frais sont mis à la charge de la partie succombante ;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vu l'admission partielle de l'appel, il se justifie, en application de l'art. 106 al. 2 CPC, que chaque partie supporte ses propres dépens et la moitié des frais de justice dus à l'Etat, fixés à CHF 1'000.-. Indépendamment de cette attribution, les frais judiciaires seront acquittés par prélèvement sur l'avance versée par A.________, qui pourra obtenir à ce titre le remboursement de la somme de CHF 500.- par son mari (art. 111 al. 1 et 2 CPC). (dispositif en page suivante)</w:t>
      </w:r>
    </w:p>
    <w:p>
      <w:r>
        <w:t>Tribunal cantonal TC Page 10 de 10 la Cour arrête : I. L'appel est partiellement admis. Partant, le chiffre 7 du dispositif de la décision prononcée le 29 avril 2019 par la Présidente du Tribunal civil de la Sarine est réformée, pour prendre la teneur suivante : 7. B.________ contribuera à l'entretien de ses enfants par le versement mensuel des pensions suivantes, dès le 1er août 2018 : Pour C.________ et D.________, chacun - CHF 1'200.- jusqu'à l'entrée à l'école secondaire de E.________ ; - CHF 1'100.- dès ce moment et jusqu'aux 16 ans de E.________ ; - CHF 1'000.- dès les 16 ans de E.________. Pour E.________ - CHF 2'325.- jusqu'au 30 septembre 2019 ; - CHF 1'570.- dès le 1er octobre 2019 et jusqu'à son entrée à l'école secondaire ; - CHF 1'100.- dès ce moment et jusqu'à ses 16 ans ; - CHF 1'000.- dès ses 16 ans. Les allocations familiales sont payables en sus. Les montants déjà versés seront portés en déduction des montants dus. Pour le surplus, le chiffre 10 de ce dispositif est confirmé. II. Pour l'appel, chaque partie supporte ses propres dépens et la moitié des frais de justice dus à l'Etat, fixés à CHF 1'000.-. Indépendamment de cette attribution, les frais judiciaires seront acquittés par prélèvement sur l'avance versée par A.________, qui pourra obtenir le remboursement de la somme de CHF 500.- de la part de B.________.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 septembre 2019/lfa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