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135 vom 15. Oktober 2019</w:t>
      </w:r>
    </w:p>
    <w:p>
      <w:r>
        <w:t>FR Kantonsgericht, 2019-10-15, FR</w:t>
      </w:r>
    </w:p>
    <w:p>
      <w:r>
        <w:rPr>
          <w:b/>
        </w:rPr>
        <w:t xml:space="preserve">Quelle: </w:t>
      </w:r>
      <w:r>
        <w:t>https://mcp.opencaselaw.ch/entscheid/fr_gerichte_101_2019_135</w:t>
      </w:r>
    </w:p>
    <w:p>
      <w:r>
        <w:t>FR: FR_GERICHTE 101 2019 135 du 15 octobre 2019</w:t>
      </w:r>
    </w:p>
    <w:p>
      <w:r>
        <w:t>IT: FR_GERICHTE 101 2019 135 del 15 ottobre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 le 30 avril 2019. Déposé le 10 mai 2019, l'appel a été interjeté en temps utile. Le mémoire est de plus dûment motivé et doté de conclusions. En outre, l’attribution du logement n'étant pas de nature économique (arrêt TF 5D_126/2009 du 27 octobre 2009 consid. 1.1; CR CPC-TAPPY, 2019, art. 91 n. 12 et 72),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w:t>
      </w:r>
    </w:p>
    <w:p>
      <w:r>
        <w:rPr>
          <w:b/>
        </w:rPr>
        <w:t>E. 1.3</w:t>
      </w:r>
    </w:p>
    <w:p>
      <w:r>
        <w:t>La cognition de la Cour d'appel (ci-après: la Cour) est pleine et entière, en fait comme en droit (art. 310 CPC).</w:t>
      </w:r>
    </w:p>
    <w:p>
      <w:r>
        <w:rPr>
          <w:b/>
        </w:rPr>
        <w:t>E. 1.4</w:t>
      </w:r>
    </w:p>
    <w:p>
      <w:r>
        <w:t>Selon l'art. 316 al. 1 CPC, la Cour peut ordonner des débats ou statuer sur pièces. En l'espèce, vu l'objet de l'appel et le fait que toutes les pièces utiles à son traitement figurent au dossier, il n'est pas nécessaire d'assigner les parties à une audience.</w:t>
      </w:r>
    </w:p>
    <w:p>
      <w:r>
        <w:rPr>
          <w:b/>
        </w:rPr>
        <w:t>E. 2.1</w:t>
      </w:r>
    </w:p>
    <w:p>
      <w:r>
        <w:t>A l'appui de son appel, l'appelant relève notamment qu'il avait pris contact avec son banquier le 3 avril 2019 pour régler ses problèmes de paiement, qu'il perçoit des indemnités de chômage depuis le 7 mars 2019, qu'il a acquitté les 18 et 29 avril 2019 les intérêts hypothécaires pour lesquels il a par ailleurs mis en place un ordre de paiement permanent. Il a de plus remis une lettre non datée de son fils majeur attestant que celui-ci vit avec lui. Partant, il estime que le chiffre II de la décision attaquée doit être annulé. L'appelant relève qu'il n'avait pas été en mesure de se manifester durant la procédure de première instance en raison de problèmes de santé et a remis différents certificats médicaux à titre de preuve. Ainsi, trois certificats attestent d'une incapacité de travail totale du 1er décembre 2018 au 30 janvier 2019, puis du 21 février 2019 au</w:t>
      </w:r>
    </w:p>
    <w:p>
      <w:r>
        <w:rPr>
          <w:b/>
        </w:rPr>
        <w:t>E. 2.2</w:t>
      </w:r>
    </w:p>
    <w:p>
      <w:r>
        <w:t>Aux termes de l'art. 317 al. 1 CPC, applicable à la procédure d’appel nonobstant la maxime inquisitoire sociale (ATF 138 III 625 consid. 2.2), les faits et moyens de preuve nouveaux ne sont pris en compte en appel que s'ils sont invoqués ou produits sans retard (let. a) et s'ils ne pouvaient l'être en première instance bien que la partie qui s'en prévaut ait fait preuve de la diligence requise (let. b). En ce qui concerne les pseudo nova, soit ceux qui existaient déjà en première instance, il</w:t>
      </w:r>
    </w:p>
    <w:p>
      <w:r>
        <w:t>Tribunal cantonal TC Page 4 de 7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w:t>
      </w:r>
    </w:p>
    <w:p>
      <w:r>
        <w:rPr>
          <w:b/>
        </w:rPr>
        <w:t>E. 2.3</w:t>
      </w:r>
    </w:p>
    <w:p>
      <w:r>
        <w:t>La Cour ne peut que s'interroger à la lecture des certificats et des explications fournies par l'appelant. Premièrement, le certificat du 7 mai 2019 atteste de manière rétroactive d'importantes difficultés à gérer les affaires administratives dès le 21 mars 2019. Or, un autre certificat, daté celui-ci du 20 mars 2019, relève que l'appelant ne présentait aucune incapacité depuis une quinzaine de jour déjà. La valeur du certificat du 7 mai 2019 est ainsi discutable, même si la Cour laissera la question ouverte. Deuxièmement, l'appelant ne présentait aucune incapacité entre le</w:t>
      </w:r>
    </w:p>
    <w:p>
      <w:r>
        <w:rPr>
          <w:b/>
        </w:rPr>
        <w:t>E. 6</w:t>
      </w:r>
    </w:p>
    <w:p>
      <w:r>
        <w:t>mars 2019. Ces incapacités sont dues à une dépression sévère qui a empêché l'appelant de gérer provisoirement ses affaires administratives (cf. appel, partie en fait, ch. 5). Le 20 mars 2019, le médecin a confirmé la pleine capacité de travail de l'appelant dès le 7 mars 2019. Le 7 mai 2019, il a émis un certificat rétroactif au 21 mars 2019 : "Pour diverses raisons, [le patient] ne s'est plus présenté aux consultations depuis le 20 mars 2019. Pendant cette période, il a présenté d'importantes difficultés à gérer ses affaires administratives pour des raisons médicales".</w:t>
      </w:r>
    </w:p>
    <w:p>
      <w:r>
        <w:rPr>
          <w:b/>
        </w:rPr>
        <w:t>E. 7</w:t>
      </w:r>
    </w:p>
    <w:p>
      <w:r>
        <w:t>et le 20 mars 2019. Or, l'intimée a déposé sa requête de mesures superprovisionnelles le 5 mars 2019, laquelle a été partiellement admise par la Présidente le 8 mars 2019. L'appelant a ainsi ignoré la décision et n'a pas respecté le délai de 10 jours qui lui était imparti pour renseigner sur sa situation financière et pour rembourser les intérêts auprès de la banque. Troisièmement, l'appelant bénéficie d'indemnités de chômage depuis le 7 mars 2019. Or, pour bénéficier des prestations, il faut être apte au placement – soit présenter une capacité de travail – et se soumettre aux prescriptions de contrôle, dont notamment participer aux entretiens de conseil. Il est difficilement imaginable que l'appelant ait pu remplir ces conditions s'il n'avait pas été en mesure de gérer ses affaires administratives. Quatrièmement, le certificat du 7 mai 2019 ne prétend pas que l'appelant aurait été incapable de gérer ses affaires, il ne fait que relever d'"importantes difficultés" pour ce faire. L'appelant a cependant été en mesure d'entreprendre certaines actions en avril 2019, soit notamment la prise de contact du 3 avril 2019 avec le banquier (comme le relève l'appelant lui-même, "il a manifesté son intention de régler la situation") et le paiement du 18 avril 2019 des intérêts échus auprès de la banque. Dans ces conditions, on ne comprend pas pourquoi l'appelant n'a pas consulté son avocat ou n'a pas estimé nécessaire d'informer l'autorité de première instance de ses démarches. Au vu de ce qui précède, si l'on peut admettre que l'appelant rencontrait certaines difficultés pour gérer ses affaires, rien ne justifie le fait qu'il ne se soit pas manifesté durant toute la procédure de première instance qui s'est étendue du 5 mars 2019 au 26 avril 2019. Partant, l'absence de toute collaboration de l'appelant durant la procédure de première instance correspondant à un défaut de diligence, la quasi-totalité des allégués et offres de preuves nouveaux sont irrecevables en application de l'art. 317 al. 1 CPC. Les seuls faits mentionnés dans l'appel qui peuvent être prises en compte sont le paiement des intérêts hypothécaires effectué le 29 avril 2019 par l'appelant et le mail du 6 mai 2019 rédigé par le banquier attestant que la situation a été régularisée. Ces faits sont en effet intervenus postérieurement à la décision attaquée, de sorte qu'ils sont recevables au sens de l'art. 317 al. 1 CPC. 3. 3.1. L'appelant estime que les conditions relatives à la modification des mesures protectrices de l'union conjugale ne sont pas remplies car il n'y a pas de changement significatif et durable des circonstances. Même si c'était le cas, l'appelant estime que l'usage du logement conjugal n'a pas à être attribué à son épouse et doit lui revenir.</w:t>
      </w:r>
    </w:p>
    <w:p>
      <w:r>
        <w:t>Tribunal cantonal TC Page 5 de 7 3.2. 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Le moment déterminant pour apprécier si des circonstances nouvelles se sont produites est la date du dépôt de la demande de nouvelles mesures (ATF 137 III 604 consid. 4.1.1). L'admission de circonstances nouvelles n'entraîne pas automatiquement une modification des mesures protectrices de l'union conjugale ou des mesures provisionnelles ordonnées (ATF 137 III 604 consid. 4.1.1). En outre, une modification des mesures protectrices ou des mesures provisionnelles est exclue si la situation nouvelle découle, pour la partie qui s'en prévaut, d'un comportement relevant de l'abus de droit (ATF 141 III 376 consid. 3.3.1 et les réf. citées; arrêt TF 5A_117/2010 du 5 mars 2010 consid. 3.3).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Si ce second critère ne donne pas non plus de résultat clair, le juge doit alors tenir compte du statut juridique de l'immeuble et l'attribuer à celui des époux qui en est le propriétaire ou qui bénéficie d'autres droits d'usage sur celui-ci (arrêt TF 5A_823/2014 du 3 février 2015 consid. 4). 3.3. La Présidente avait considéré que la situation avait changé de manière essentielle et durable depuis le prononcé des mesures protectrices de l'union conjugale du 27 août 2018, l'époux</w:t>
      </w:r>
    </w:p>
    <w:p>
      <w:r>
        <w:t>Tribunal cantonal TC Page 6 de 7 ayant définitivement arrêté de payer les intérêts hypothécaires et s'étant, par son silence, entièrement désintéressé du sort de la maison. La Présidente a alors attribué le logement à l'épouse en se basant sur des motifs purement économiques, constatant que le logement risquait d'être réalisé par la banque et ne décelant pas l'intérêt de l'appelant à demeurer dans la maison. Or, le fait que l'appelant est aujourd'hui à jour avec les paiements démontre que la situation n'était que provisoire et réduit à néant les motifs retenus dans la décision attaquée. La Cour constate qu'il ressort de la décision de mesures protectrices de l'union conjugale du 27 août 2018 que l'épouse a accepté que l'usage du domicile conjugal soit attribué à l'époux, qui a obtenu la garde de leur plus jeune enfant (alors mineure). De plus, il a été relevé que l'époux assurait l'entretien du fils aîné (majeur) aux études. Rien ne justifie de s'écarter aujourd'hui de la solution trouvée par les parties. Il est vrai que l'attitude de l'appelant durant la procédure de première instance est critiquable. De plus, malgré ses déclarations selon lesquelles il aurait instauré un ordre de paiement permanent, il a omis de payer les intérêts du 30 juin 2019 et n'a procédé au versement qu'après le courrier de son épouse daté du 31 juillet 2019 signalant le retard de paiement à la Cour de céans. Ces éléments ne justifient cependant pas, à ce jour, un changement dans l'usage du domicile. Partant, il convient d'admettre l'appel sur ce point. 4. 4.1. Selon l'art. 106 al. 1 CPC, les frais sont mis à la charge de la partie succombante. Le tribunal peut cependant s'écarter des règles générales et répartir les frais selon la libre appréciation si le litige relève du droit de la famille (art. 107 al. 1 let. c CPC) ou si des circonstances particulières rendent la répartition en fonction du sort de la cause inéquitable (art. 107 al. 1 let. f CPC). Les frais causés inutilement sont mis à la charge de la personne qui les a engendrés (art. 108 CPC). 4.2. Dans le cas d'espèce, la procédure de première instance a été entièrement provoquée par l'attitude de l'appelant. Celui-ci a d'abord ignoré les demandes de son épouse, qui n'a eu d'autre choix que de se tourner vers les tribunaux. Son silence a ensuite perduré jusqu'au prononcé de la décision malgré les différents courriers de la Présidente et la décision de mesures superprovisionnelles du 8 mars 2019. Partant, le chiffre IV du dispositif de la décision attaquée condamnant l'époux au paiement des frais doit être confirmé (art. 107 al. 1 let. f et 108 CPC). La procédure d'appel aurait également pu être évitée si l'époux s'était manifesté plus tôt. Même si l'appelant obtient gain de cause, les frais d'appel doivent aussi être mis à sa charge (Message CPC in FF 2006 p. 6982; art. 107 al. 1 let. f et 108 CPC). Ils comprennent notamment les frais de justice dus à l'Etat, fixés à CHF 1'000.-, qui seront prélevés sur l'avance prestée. 4.3. Selon l'art. 105 al. 2 CPC, le tribunal fixe les dépens d'appel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 Compte tenu de ces critères, les dépens d'appel de l'intimée seront arrêtés globalement à la somme de CHF 1'500.-, débours compris, plus la TVA par CHF 115.50 (7.7 % de CHF 1'500.-).</w:t>
      </w:r>
    </w:p>
    <w:p>
      <w:r>
        <w:t>Tribunal cantonal TC Page 7 de 7 la Cour arrête : I. L'appel est partiellement admis. Partant, le chiffre II de la décision rendue le 26 avril 2019 par la Présidente du Tribunal civil de la Broye est modifié comme suit : "La requête déposée le 26 mars 2019 et complétée le 17 avril 2019 par B.________ est rejetée". Pour le surplus, la décision du 26 avril 2019 est confirmée. II. Les frais d'appel sont mis à la charge de A.________. Ils comprennent les frais judiciaires dus à l'Etat, fixés à CHF 1'000.-, qui seront prélevés sur l'avance de frais qu'il a versée. Les dépens d'appel de B.________ sont fixés globalement à CHF 1'500.-, débours compris, mais TVA en sus par CHF 115.50.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octobre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