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91 vom 8. Juni 2018</w:t>
      </w:r>
    </w:p>
    <w:p>
      <w:r>
        <w:t>FR Kantonsgericht, 2018-06-08, FR</w:t>
      </w:r>
    </w:p>
    <w:p>
      <w:r>
        <w:rPr>
          <w:b/>
        </w:rPr>
        <w:t xml:space="preserve">Quelle: </w:t>
      </w:r>
      <w:r>
        <w:t>https://mcp.opencaselaw.ch/entscheid/fr_gerichte_101_2018_91</w:t>
      </w:r>
    </w:p>
    <w:p>
      <w:r>
        <w:t>FR: FR_GERICHTE 101 2018 91 du 8 juin 2018</w:t>
      </w:r>
    </w:p>
    <w:p>
      <w:r>
        <w:t>IT: FR_GERICHTE 101 2018 91 del 8 giugno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23 avril 2018. Déposé le 30 avril 2018, l'appel a dès lors été interjeté en temps utile. En outre, vu notamment la contestation, en appel, de l’attribution de l'autorité parentale et du droit de visite sur l'enfant des parties, le litige n’a pas de valeur appréciable en argent, quand bien même il a aussi un aspect pécuniaire (CPC-TAPPY, 2011, art. 91 n. 10 et les réf. citées).</w:t>
      </w:r>
    </w:p>
    <w:p>
      <w:r>
        <w:t>Tribunal cantonal TC Page 3 de 6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On peut considérer que ces conditions sont remplies en l'espèce.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cette manière de voir n'est pas arbitraire (arrêt TF 5A_266/2015 du 24 juin 2015 consid. 3.2.2).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comme la durée en l'état indéterminée des mesures prononcées, la valeur litigieuse pour un recours au Tribunal fédéral semble être supérieure à CHF 30'000.- (art. 51 al. 1 let. a et al. 4 LTF).</w:t>
      </w:r>
    </w:p>
    <w:p>
      <w:r>
        <w:rPr>
          <w:b/>
        </w:rPr>
        <w:t>E. 2</w:t>
      </w:r>
    </w:p>
    <w:p>
      <w:r>
        <w:t>L'appelante critique le fait que la décision attaquée maintienne l'autorité parentale conjointe sur C.________, la manière dont le Président du Tribunal a organisé le droit de visite du père sur l'enfant et fixé les montants des contributions d'entretien mensuelles.</w:t>
      </w:r>
    </w:p>
    <w:p>
      <w:r>
        <w:rPr>
          <w:b/>
        </w:rPr>
        <w:t>E. 2.1</w:t>
      </w:r>
    </w:p>
    <w:p>
      <w:r>
        <w:t>Depuis le 1er juillet 2014, l'autorité parentale conjointe est la règle, indépendamment de l'état civil des parents (art. 296 al. 2, 298a al. 1, 298b al. 2 et 298d al. 1 CC; ATF 142 III 1 consid. 3.3; ATF 142 III 197 consid. 3.7; arrêt TF 5A_202/2015 du 26 novembre 2015 consid. 3.3 et 3.5). Le projet d'autorité parentale conjointe tout entier visait un seul but: le bien de l'enfant (art. 296 al. 1 CC). L'enfant peut prétendre à ce que ses deux parents assument ensemble la responsabilité</w:t>
      </w:r>
    </w:p>
    <w:p>
      <w:r>
        <w:t>Tribunal cantonal TC Page 4 de 6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ATF 142 III 56 consid. 3). Selon la jurisprudence,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56 consid. 3 et 141 III 472 consid. 4.6). En l'espèce, l'appelante allègue en substance que les parties n'arrivent pas à communiquer ensemble, qu'il existe de profondes dissensions entre elles et que le père ferait preuve de négligence lorsqu'il s'occupe de C.________, ce en raison de sa culture différente. Néanmoins, il s'agit de faits nouveaux et elle n'expose pas s'il s'agit de vrais nova ou de pseudo nova, ni, dans le second cas, les raisons pour lesquelles elle n'a pas pu les alléguer en procédure de première instance, de sorte qu'ils sont irrecevables en appel. En outre, rien n'indique que les craintes formulées par l'appelante quant au fait que l'intimé souffrirait de troubles psychiques ou qu'il souhaiterait quitter la Suisse en emmenant sa fille avec lui soient fondées et constitueraient une menace pour le bien de l'enfant qui pourrait justifier un retrait de l'autorité parentale du père. A cela s'ajoute qu'il ressort au contraire du dossier (DO 1 &amp; 25) que les parties ont été à même de communiquer ensemble pour organiser des visites entre l'intimé et C.________ et que l'appelante conclut elle-même à un droit de visite dès que l'intimé aura son propre appartement, et ce, sans la présence d'une tierce personne. Il s'ensuit qu'il n'existe aucun élément qui justifierait de s'écarter de la décision attaquée et d'attribuer l'autorité parentale exclusive à la mère, et ce, compte tenu de la jurisprudence exposée ci-dessus, quand bien même les faits nouveaux allégués par l'appelante seraient pris en considération.</w:t>
      </w:r>
    </w:p>
    <w:p>
      <w:r>
        <w:rPr>
          <w:b/>
        </w:rPr>
        <w:t>E. 2.2</w:t>
      </w:r>
    </w:p>
    <w:p>
      <w:r>
        <w:t>En ce qui concerne le droit de visite de l'intimé sur sa fille, l'appelante requiert qu'il s'exerce d'entente entre les parties et, à défaut d'entente, au point rencontre tant que l'intimé ne dispose pas de son propre appartement et, dès que tel sera le cas, deux demi jours de 14h à 18h30 tous les deux week-ends (samedi et dimanche) durant trois mois, motif pris qu'un jour complet ferait beaucoup pour le père, puis, durant les trois mois suivants, un jour tous les week-ends en alternance une fois le samedi, une fois le dimanche, puis, durant les trois mois suivants, deux jours tous les deux week-ends, C.________ passant la nuit chez sa mère, puis finalement un week-end sur deux, du vendredi soir 19h30 au dimanche soir 19h30 et, s'agissant des vacances "la première fois que B.________ aura passé au moins 3 week-ends complets afin de s'habituer avec sa fille pour un total de 4 semaines par année, soit en principe 2 semaines en été, 1 semaine à Pâques et 1 semaine à Noël, les jours de Noël et Nouvel-an étant passés alternativement chez chacun des parents". Dans ces dernières conclusions formulées durant la procédure de première instance, l'appelante concluait toutefois à ce que le père exerce un droit de visite usuel sur sa fille dès qu'il se serait constitué un logement adapté à son accueil (DO/24). Dans son appel, elle ne remet pas fondamentalement en question l'élargissement graduel du droit de visite tel que fixé par la décision attaquée, qui prévoit notamment que dès que l'intimé disposera de son propre logement, le droit de visite s'exercera "durant les 3 prochains mois, 1 jour tous les 2 week-ends (samedi ou dimanche); puis, durant les 3 mois suivants, 2 jours tous les 2 week-ends, mais C.________ passera la nuit chez sa mère A.________; puis, un week-end sur deux, du vendredi soir à 18h00</w:t>
      </w:r>
    </w:p>
    <w:p>
      <w:r>
        <w:t>Tribunal cantonal TC Page 5 de 6 au dimanche soir à 18h00; pour les vacances, une semaine la première fois durant les vacances de Noël 2018, puis 4 semaines par année, soit en principe 2 semaines en été, 1 semaine à Pâques et 1 semaine à Noël, les jours de Noël et Nouvel-an étant passés alternativement chez chacun des parents […]". La motivation sommaire de l'appelante qui consiste à exposer sans plus de précisions qu'un jour de garde entier ferait beaucoup à l'intimé, n'est pas de nature à justifier que l'on s'écarte de la solution retenue par le Président du Tribunal et ce grief doit être rejeté.</w:t>
      </w:r>
    </w:p>
    <w:p>
      <w:r>
        <w:rPr>
          <w:b/>
        </w:rPr>
        <w:t>E. 2.3</w:t>
      </w:r>
    </w:p>
    <w:p>
      <w:r>
        <w:t>L'appelante soulève plusieurs griefs relatifs au calcul de ses propres charges, du coût d'entretien de C.________ ainsi que du revenu et des charges de l'intimé et conclut à des pensions mensuelles plus élevées que celles retenues par la décision attaquée, tant pour elle- même que pour C.________. Néanmoins, il n'y a pas lieu de s'écarter de la décision attaquée sur ces points. En effet, d'une part, les griefs de l'appelante se fondent sur des faits nouveaux, qu'elle n'avait pas allégués durant la procédure de première instance. Elle n'expose aucunement les raisons pour lesquelles il lui a été impossible de le faire, de sorte que ces faits sont irrecevables en instance d'appel. Il en va ainsi en particulier des frais de garde supplémentaires et de nourriture de C.________ à hauteur de CHF 300.- mensuels au total, des frais de dentiste pour elle-même à hauteur de CHF 400.- par année, des massages à hauteur de CHF 360.- par année, du revenu prétendument moins élevé de l'intimé en février et décembre 2017, d'un prétendu travail les week-ends et du fait que l'intimé n'aurait en réalité payé aucune pension aux personnes qui l'hébergeaient. S'agissant du remboursement d'un emprunt de CHF 25'000.-, l'appelante admet elle-même que les informations n'ont pas été transmises au Président du Tribunal malgré leur disponibilité à ce moment-là, de sorte qu'il n'y a pas non plus lieu d'en tenir compte, ce d'autant plus que les raisons d'un tel emprunt, soit en particulier s'il a été contracté pour les besoins du ménage ou non, ne sont pas clairement établies. D'autre part, tant la méthode que les montants pris en compte par le Président du Tribunal pour calculer les contributions d'entretien dues ne sont pas critiquables. Ainsi, le montant de CHF 1'200.- retenu au titre de loyer hypothétique de l'intimé n'est pas excessif, de même que les CHF 200.- de contribution à l'entretien pour le premier enfant de l'intimé. On ne peut non plus reprocher au Président du Tribunal d'avoir retenu un montant de CHF 300.- pour les divers dans les charges de l'appelante et qui doivent lui permettre de couvrir en particulier les frais d'essence, de santé et les imprévus. Force est de constater que dans la mesure où les frais de transports professionnels de l'appelante dont il sied de tenir compte lors du calcul du minimum vital ne sont que très peu élevés vu la proximité du domicile de l'appelante de son lieu de travail, la majeure partie de ce montant peut être notamment consacré aux frais de santé que l'assurance- maladie ne prendrait pas en charge et que l'appelante affirme devoir supporter. Finalement, c'est également à juste titre que le Président du Tribunal n'a pas tenu compte de la prime troisième pilier B et ce, quel qu'en soit le bénéficiaire.</w:t>
      </w:r>
    </w:p>
    <w:p>
      <w:r>
        <w:rPr>
          <w:b/>
        </w:rPr>
        <w:t>E. 2.4</w:t>
      </w:r>
    </w:p>
    <w:p>
      <w:r>
        <w:t>L'appel de A.________ est ainsi manifestement mal fondé et sera rejeté sans échange d'écritures (art. 312 al. 1 CPC).</w:t>
      </w:r>
    </w:p>
    <w:p>
      <w:r>
        <w:rPr>
          <w:b/>
        </w:rPr>
        <w:t>E. 3</w:t>
      </w:r>
    </w:p>
    <w:p>
      <w:r>
        <w:t>Pour une requête d'octroi de l'assistance judiciaire en appel, les perspectives de succès de l'appel sont déterminantes (arrêt TF 5A_10/2013 du 24 janvier 2013 consid. 7.3). En l'espèce, l'appel, manifestement mal fondé, n'avait aucune chance d'aboutir. Cela implique le rejet de la requête d'assistance judiciaire (art. 117 let. b CPC).</w:t>
      </w:r>
    </w:p>
    <w:p>
      <w:r>
        <w:rPr>
          <w:b/>
        </w:rPr>
        <w:t>E. 4</w:t>
      </w:r>
    </w:p>
    <w:p>
      <w:r>
        <w:t>Les frais judiciaires de la procédure d'appel, fixés à CHF 150.- pour tenir compte de la situation financière de l’appelante, sont mis à la charge de A.________, qui succombe (art. 106 al. 1 CPC). L'intimé n'ayant pas été invité à se déterminer, il ne sera pas alloué de dépens.</w:t>
      </w:r>
    </w:p>
    <w:p>
      <w:r>
        <w:t>Tribunal cantonal TC Page 6 de 6 la Cour arrête: I. L'appel est rejeté dans la mesure de sa recevabilité. Partant, la décision du 20 avril 2018 du Président du Tribunal civil de la Veveyse est intégralement confirmée. II. La requête d'assistance judiciaire du 30 avril 2018 est rejetée. III. Les frais judiciaires dus à l'Etat pour la procédure d'appel sont fixés à CHF 150.- et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2018/fwa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